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5DC3E">
      <w:pPr>
        <w:spacing w:line="360" w:lineRule="auto"/>
        <w:jc w:val="center"/>
        <w:rPr>
          <w:rFonts w:ascii="宋体" w:hAnsi="宋体"/>
          <w:sz w:val="24"/>
        </w:rPr>
      </w:pPr>
    </w:p>
    <w:p w14:paraId="781F0199">
      <w:pPr>
        <w:spacing w:line="360" w:lineRule="auto"/>
        <w:jc w:val="center"/>
        <w:rPr>
          <w:rFonts w:ascii="宋体" w:hAnsi="宋体"/>
          <w:sz w:val="24"/>
        </w:rPr>
      </w:pPr>
    </w:p>
    <w:p w14:paraId="588D4AEF">
      <w:pPr>
        <w:spacing w:line="360" w:lineRule="auto"/>
        <w:jc w:val="center"/>
        <w:rPr>
          <w:rFonts w:ascii="宋体" w:hAnsi="宋体"/>
          <w:sz w:val="24"/>
        </w:rPr>
      </w:pPr>
    </w:p>
    <w:p w14:paraId="3F809282">
      <w:pPr>
        <w:spacing w:line="360" w:lineRule="auto"/>
        <w:jc w:val="center"/>
        <w:rPr>
          <w:rFonts w:ascii="宋体" w:hAnsi="宋体"/>
          <w:sz w:val="24"/>
        </w:rPr>
      </w:pPr>
    </w:p>
    <w:p w14:paraId="42815D58">
      <w:pPr>
        <w:spacing w:line="360" w:lineRule="auto"/>
        <w:jc w:val="center"/>
        <w:rPr>
          <w:rFonts w:ascii="宋体" w:hAnsi="宋体"/>
          <w:b/>
          <w:bCs/>
          <w:sz w:val="52"/>
          <w:szCs w:val="52"/>
        </w:rPr>
      </w:pPr>
      <w:r>
        <w:rPr>
          <w:rFonts w:ascii="宋体" w:hAnsi="宋体"/>
          <w:b/>
          <w:bCs/>
          <w:sz w:val="52"/>
          <w:szCs w:val="52"/>
        </w:rPr>
        <w:t>202</w:t>
      </w:r>
      <w:r>
        <w:rPr>
          <w:rFonts w:hint="eastAsia" w:ascii="宋体" w:hAnsi="宋体"/>
          <w:b/>
          <w:bCs/>
          <w:sz w:val="52"/>
          <w:szCs w:val="52"/>
          <w:lang w:val="en-US" w:eastAsia="zh-CN"/>
        </w:rPr>
        <w:t>4</w:t>
      </w:r>
      <w:r>
        <w:rPr>
          <w:rFonts w:hint="eastAsia" w:ascii="宋体" w:hAnsi="宋体"/>
          <w:b/>
          <w:bCs/>
          <w:sz w:val="52"/>
          <w:szCs w:val="52"/>
        </w:rPr>
        <w:t>年度内蒙古自治区鄂尔多斯市鄂托克旗第二人民医院</w:t>
      </w:r>
    </w:p>
    <w:p w14:paraId="77E6C3D2">
      <w:pPr>
        <w:spacing w:line="360" w:lineRule="auto"/>
        <w:jc w:val="center"/>
        <w:rPr>
          <w:rFonts w:ascii="宋体" w:hAnsi="宋体"/>
          <w:b/>
          <w:bCs/>
          <w:sz w:val="52"/>
          <w:szCs w:val="52"/>
        </w:rPr>
      </w:pPr>
      <w:r>
        <w:rPr>
          <w:rFonts w:hint="eastAsia" w:ascii="宋体" w:hAnsi="宋体"/>
          <w:b/>
          <w:bCs/>
          <w:sz w:val="52"/>
          <w:szCs w:val="52"/>
        </w:rPr>
        <w:t>公开文档</w:t>
      </w:r>
    </w:p>
    <w:p w14:paraId="6AF33ABC">
      <w:pPr>
        <w:spacing w:line="360" w:lineRule="auto"/>
        <w:jc w:val="center"/>
        <w:rPr>
          <w:rFonts w:ascii="宋体" w:hAnsi="宋体"/>
          <w:b/>
          <w:bCs/>
          <w:sz w:val="52"/>
          <w:szCs w:val="52"/>
        </w:rPr>
      </w:pPr>
    </w:p>
    <w:p w14:paraId="10212A6C">
      <w:pPr>
        <w:spacing w:line="360" w:lineRule="auto"/>
        <w:jc w:val="center"/>
        <w:rPr>
          <w:rFonts w:ascii="宋体" w:hAnsi="宋体"/>
          <w:b/>
          <w:bCs/>
          <w:sz w:val="52"/>
          <w:szCs w:val="52"/>
        </w:rPr>
      </w:pPr>
    </w:p>
    <w:p w14:paraId="636528E7">
      <w:pPr>
        <w:spacing w:line="360" w:lineRule="auto"/>
        <w:jc w:val="center"/>
        <w:rPr>
          <w:rFonts w:ascii="宋体" w:hAnsi="宋体"/>
          <w:b/>
          <w:bCs/>
          <w:sz w:val="52"/>
          <w:szCs w:val="52"/>
        </w:rPr>
      </w:pPr>
    </w:p>
    <w:p w14:paraId="3ADF248C">
      <w:pPr>
        <w:spacing w:line="360" w:lineRule="auto"/>
        <w:jc w:val="center"/>
        <w:rPr>
          <w:rFonts w:ascii="宋体" w:hAnsi="宋体"/>
          <w:b/>
          <w:bCs/>
          <w:sz w:val="52"/>
          <w:szCs w:val="52"/>
        </w:rPr>
      </w:pPr>
    </w:p>
    <w:p w14:paraId="1D89E7A7">
      <w:pPr>
        <w:spacing w:line="360" w:lineRule="auto"/>
        <w:jc w:val="center"/>
        <w:rPr>
          <w:rFonts w:ascii="宋体" w:hAnsi="宋体"/>
          <w:b/>
          <w:bCs/>
          <w:sz w:val="52"/>
          <w:szCs w:val="52"/>
        </w:rPr>
      </w:pPr>
    </w:p>
    <w:p w14:paraId="6C9B9DF2">
      <w:pPr>
        <w:spacing w:line="360" w:lineRule="auto"/>
        <w:jc w:val="center"/>
        <w:rPr>
          <w:rFonts w:ascii="宋体" w:hAnsi="宋体"/>
          <w:sz w:val="32"/>
          <w:szCs w:val="32"/>
        </w:rPr>
      </w:pPr>
      <w:r>
        <w:rPr>
          <w:rFonts w:hint="eastAsia" w:ascii="宋体" w:hAnsi="宋体"/>
          <w:sz w:val="32"/>
          <w:szCs w:val="32"/>
        </w:rPr>
        <w:t>单位名称：内蒙古自治区鄂尔多斯市鄂托克旗第二人民医院</w:t>
      </w:r>
    </w:p>
    <w:p w14:paraId="29073C42">
      <w:pPr>
        <w:spacing w:line="360" w:lineRule="auto"/>
        <w:ind w:firstLine="2240" w:firstLineChars="700"/>
        <w:jc w:val="left"/>
        <w:rPr>
          <w:rFonts w:ascii="宋体" w:hAnsi="宋体"/>
          <w:sz w:val="32"/>
          <w:szCs w:val="32"/>
        </w:rPr>
      </w:pPr>
      <w:r>
        <w:rPr>
          <w:rFonts w:hint="eastAsia" w:ascii="宋体" w:hAnsi="宋体"/>
          <w:sz w:val="32"/>
          <w:szCs w:val="32"/>
        </w:rPr>
        <w:t>单位负责人：刘海荣</w:t>
      </w:r>
    </w:p>
    <w:p w14:paraId="159F86D2">
      <w:pPr>
        <w:spacing w:line="360" w:lineRule="auto"/>
        <w:ind w:firstLine="2240" w:firstLineChars="700"/>
        <w:jc w:val="left"/>
        <w:rPr>
          <w:rFonts w:ascii="宋体" w:hAnsi="宋体"/>
          <w:sz w:val="32"/>
          <w:szCs w:val="32"/>
        </w:rPr>
      </w:pPr>
      <w:r>
        <w:rPr>
          <w:rFonts w:hint="eastAsia" w:ascii="宋体" w:hAnsi="宋体"/>
          <w:sz w:val="32"/>
          <w:szCs w:val="32"/>
        </w:rPr>
        <w:t>财务负责人：王新莲</w:t>
      </w:r>
    </w:p>
    <w:p w14:paraId="2403EDC6">
      <w:pPr>
        <w:spacing w:line="360" w:lineRule="auto"/>
        <w:ind w:firstLine="2240" w:firstLineChars="700"/>
        <w:jc w:val="left"/>
        <w:rPr>
          <w:rFonts w:ascii="宋体" w:hAnsi="宋体"/>
          <w:sz w:val="32"/>
          <w:szCs w:val="32"/>
        </w:rPr>
      </w:pPr>
      <w:r>
        <w:rPr>
          <w:rFonts w:hint="eastAsia" w:ascii="宋体" w:hAnsi="宋体"/>
          <w:sz w:val="32"/>
          <w:szCs w:val="32"/>
        </w:rPr>
        <w:t>编制人：王琳琳</w:t>
      </w:r>
    </w:p>
    <w:p w14:paraId="45C58358">
      <w:pPr>
        <w:spacing w:line="360" w:lineRule="auto"/>
        <w:ind w:firstLine="2240" w:firstLineChars="700"/>
        <w:jc w:val="left"/>
        <w:rPr>
          <w:rFonts w:ascii="宋体" w:hAnsi="宋体"/>
          <w:sz w:val="32"/>
          <w:szCs w:val="32"/>
        </w:rPr>
      </w:pPr>
      <w:r>
        <w:rPr>
          <w:rFonts w:hint="eastAsia" w:ascii="宋体" w:hAnsi="宋体"/>
          <w:sz w:val="32"/>
          <w:szCs w:val="32"/>
        </w:rPr>
        <w:t>报送日期：</w:t>
      </w:r>
      <w:r>
        <w:rPr>
          <w:rFonts w:ascii="宋体" w:hAnsi="宋体"/>
          <w:sz w:val="32"/>
          <w:szCs w:val="32"/>
        </w:rPr>
        <w:t>202</w:t>
      </w:r>
      <w:r>
        <w:rPr>
          <w:rFonts w:hint="eastAsia" w:ascii="宋体" w:hAnsi="宋体"/>
          <w:sz w:val="32"/>
          <w:szCs w:val="32"/>
          <w:lang w:val="en-US" w:eastAsia="zh-CN"/>
        </w:rPr>
        <w:t>4</w:t>
      </w:r>
      <w:r>
        <w:rPr>
          <w:rFonts w:hint="eastAsia" w:ascii="宋体" w:hAnsi="宋体"/>
          <w:sz w:val="32"/>
          <w:szCs w:val="32"/>
        </w:rPr>
        <w:t>年</w:t>
      </w:r>
      <w:r>
        <w:rPr>
          <w:rFonts w:hint="eastAsia" w:ascii="宋体" w:hAnsi="宋体"/>
          <w:sz w:val="32"/>
          <w:szCs w:val="32"/>
          <w:lang w:val="en-US" w:eastAsia="zh-CN"/>
        </w:rPr>
        <w:t>10</w:t>
      </w:r>
      <w:r>
        <w:rPr>
          <w:rFonts w:hint="eastAsia" w:ascii="宋体" w:hAnsi="宋体"/>
          <w:sz w:val="32"/>
          <w:szCs w:val="32"/>
        </w:rPr>
        <w:t>月</w:t>
      </w:r>
    </w:p>
    <w:p w14:paraId="10BC551B">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7342F8BA">
      <w:pPr>
        <w:adjustRightInd w:val="0"/>
        <w:snapToGrid w:val="0"/>
        <w:rPr>
          <w:rFonts w:ascii="宋体" w:hAnsi="宋体"/>
          <w:b/>
          <w:sz w:val="32"/>
          <w:szCs w:val="32"/>
        </w:rPr>
      </w:pPr>
    </w:p>
    <w:p w14:paraId="4A679AAA">
      <w:pPr>
        <w:adjustRightInd w:val="0"/>
        <w:snapToGrid w:val="0"/>
        <w:jc w:val="center"/>
      </w:pPr>
    </w:p>
    <w:p w14:paraId="574E833F">
      <w:pPr>
        <w:adjustRightInd w:val="0"/>
        <w:snapToGrid w:val="0"/>
        <w:rPr>
          <w:rFonts w:ascii="宋体" w:hAnsi="宋体"/>
          <w:b/>
          <w:sz w:val="32"/>
          <w:szCs w:val="32"/>
        </w:rPr>
      </w:pPr>
    </w:p>
    <w:p w14:paraId="508CBC77">
      <w:pPr>
        <w:pStyle w:val="2"/>
      </w:pPr>
      <w:r>
        <w:rPr>
          <w:rFonts w:hint="eastAsia"/>
        </w:rPr>
        <w:t>公开文档</w:t>
      </w:r>
    </w:p>
    <w:p w14:paraId="1C9A9517">
      <w:pPr>
        <w:widowControl/>
        <w:spacing w:after="240"/>
        <w:jc w:val="center"/>
        <w:rPr>
          <w:rFonts w:ascii="Times New Roman" w:hAnsi="Times New Roman" w:eastAsia="Times New Roman" w:cs="Times New Roman"/>
          <w:kern w:val="0"/>
          <w:sz w:val="24"/>
        </w:rPr>
      </w:pPr>
      <w:bookmarkStart w:id="0" w:name="a000"/>
      <w:r>
        <w:rPr>
          <w:rFonts w:ascii="fang_song_gb2312" w:hAnsi="fang_song_gb2312" w:eastAsia="fang_song_gb2312" w:cs="fang_song_gb2312"/>
          <w:b/>
          <w:bCs/>
          <w:kern w:val="0"/>
          <w:sz w:val="54"/>
          <w:szCs w:val="54"/>
        </w:rPr>
        <w:t>目 录</w:t>
      </w:r>
    </w:p>
    <w:p w14:paraId="31545D73">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153CF27A">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第一部分 单位概况</w:t>
      </w:r>
    </w:p>
    <w:p w14:paraId="34F0695D">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一、主要职能、职责</w:t>
      </w:r>
    </w:p>
    <w:p w14:paraId="79FACA8B">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二、单位机构设置及决算单位构成情况</w:t>
      </w:r>
    </w:p>
    <w:p w14:paraId="149CE0DF">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三、202</w:t>
      </w:r>
      <w:r>
        <w:rPr>
          <w:rFonts w:hint="eastAsia" w:ascii="宋体" w:hAnsi="宋体" w:cs="宋体"/>
          <w:kern w:val="0"/>
          <w:sz w:val="27"/>
          <w:szCs w:val="27"/>
          <w:lang w:val="en-US" w:eastAsia="zh-CN"/>
        </w:rPr>
        <w:t>4</w:t>
      </w:r>
      <w:r>
        <w:rPr>
          <w:rFonts w:hint="eastAsia" w:ascii="宋体" w:hAnsi="宋体" w:eastAsia="宋体" w:cs="宋体"/>
          <w:kern w:val="0"/>
          <w:sz w:val="27"/>
          <w:szCs w:val="27"/>
        </w:rPr>
        <w:t>年度单位主要工作完成情况</w:t>
      </w:r>
    </w:p>
    <w:p w14:paraId="30014881">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第二部分 单位决算情况说明</w:t>
      </w:r>
    </w:p>
    <w:p w14:paraId="09049E2F">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一、收入支出决算总体情况说明</w:t>
      </w:r>
    </w:p>
    <w:p w14:paraId="10112036">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二、收入决算情况说明</w:t>
      </w:r>
    </w:p>
    <w:p w14:paraId="0D48FCBC">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三、支出决算情况说明</w:t>
      </w:r>
    </w:p>
    <w:p w14:paraId="72247BEA">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四、财政拨款收入支出决算总体情况说明</w:t>
      </w:r>
    </w:p>
    <w:p w14:paraId="73D14E20">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五、一般公共预算财政拨款支出决算情况说明</w:t>
      </w:r>
    </w:p>
    <w:p w14:paraId="65EA82C9">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六、一般公共预算财政拨款基本支出决算情况说明</w:t>
      </w:r>
    </w:p>
    <w:p w14:paraId="6099A44B">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七、一般公共预算财政拨款项目支出决算情况说明</w:t>
      </w:r>
    </w:p>
    <w:p w14:paraId="677188C3">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八、财政拨款“三公”经费支出决算情况说明</w:t>
      </w:r>
    </w:p>
    <w:p w14:paraId="6995B000">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九、政府性基金预算财政拨款支出决算情况说明</w:t>
      </w:r>
    </w:p>
    <w:p w14:paraId="5BC07375">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十、国有资本经营预算财政拨款支出决算情况说明</w:t>
      </w:r>
    </w:p>
    <w:p w14:paraId="4663C7F1">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十一、机构运行经费支出决算情况说明</w:t>
      </w:r>
    </w:p>
    <w:p w14:paraId="7981062E">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十二、政府采购支出决算情况说明</w:t>
      </w:r>
    </w:p>
    <w:p w14:paraId="3A0C6099">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十三、国有资产占用情况说明</w:t>
      </w:r>
    </w:p>
    <w:p w14:paraId="395CF04C">
      <w:pPr>
        <w:widowControl/>
        <w:spacing w:before="240" w:after="240"/>
        <w:jc w:val="left"/>
        <w:rPr>
          <w:rFonts w:hint="eastAsia" w:ascii="宋体" w:hAnsi="宋体" w:eastAsia="宋体" w:cs="宋体"/>
          <w:kern w:val="0"/>
          <w:sz w:val="24"/>
        </w:rPr>
      </w:pPr>
      <w:bookmarkStart w:id="1" w:name="_GoBack"/>
      <w:r>
        <w:rPr>
          <w:rFonts w:hint="eastAsia" w:ascii="宋体" w:hAnsi="宋体" w:eastAsia="宋体" w:cs="宋体"/>
          <w:kern w:val="0"/>
          <w:sz w:val="27"/>
          <w:szCs w:val="27"/>
        </w:rPr>
        <w:t>十四、预算绩效情况说明</w:t>
      </w:r>
    </w:p>
    <w:bookmarkEnd w:id="1"/>
    <w:p w14:paraId="38F784FC">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第三部分 名词解释</w:t>
      </w:r>
    </w:p>
    <w:p w14:paraId="6A6884A5">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第四部分 决算公开联系方式及信息反馈渠道</w:t>
      </w:r>
    </w:p>
    <w:p w14:paraId="05D4FDD9">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第五部分 单位决算表</w:t>
      </w:r>
    </w:p>
    <w:p w14:paraId="73495EAB">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一、收入支出决算总表</w:t>
      </w:r>
    </w:p>
    <w:p w14:paraId="76A6D2DF">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二、收入决算表</w:t>
      </w:r>
    </w:p>
    <w:p w14:paraId="2BFFDE06">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三、支出决算表</w:t>
      </w:r>
    </w:p>
    <w:p w14:paraId="6E90E5A7">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四、财政拨款收入支出决算总表</w:t>
      </w:r>
    </w:p>
    <w:p w14:paraId="2A6A3ED1">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五、一般公共预算财政拨款支出决算表</w:t>
      </w:r>
    </w:p>
    <w:p w14:paraId="6C848288">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六、一般公共预算财政拨款基本支出决算明细表</w:t>
      </w:r>
    </w:p>
    <w:p w14:paraId="0DF1F31D">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七、一般公共预算财政拨款项目支出决算明细表</w:t>
      </w:r>
    </w:p>
    <w:p w14:paraId="3CEEEAB5">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八、政府性基金预算财政拨款收入支出决算表</w:t>
      </w:r>
    </w:p>
    <w:p w14:paraId="4D3EF473">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九、国有资本经营预算财政拨款支出决算表</w:t>
      </w:r>
    </w:p>
    <w:p w14:paraId="197728E4">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十、财政拨款“三公”经费支出决算表</w:t>
      </w:r>
    </w:p>
    <w:p w14:paraId="6189A56A">
      <w:pPr>
        <w:widowControl/>
        <w:spacing w:before="240" w:after="240"/>
        <w:jc w:val="left"/>
        <w:rPr>
          <w:rFonts w:hint="eastAsia" w:ascii="宋体" w:hAnsi="宋体" w:eastAsia="宋体" w:cs="宋体"/>
          <w:kern w:val="0"/>
          <w:sz w:val="24"/>
        </w:rPr>
      </w:pPr>
      <w:r>
        <w:rPr>
          <w:rFonts w:hint="eastAsia" w:ascii="宋体" w:hAnsi="宋体" w:eastAsia="宋体" w:cs="宋体"/>
          <w:kern w:val="0"/>
          <w:sz w:val="27"/>
          <w:szCs w:val="27"/>
        </w:rPr>
        <w:t>十一、机构运行经费支出、国有资产占用情况及政府采购支出信息表</w:t>
      </w:r>
    </w:p>
    <w:p w14:paraId="5BACE763">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75469BB5">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5391B233">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41CA7EF6">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4C5A53F8">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6483AA67">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32F61B2A">
      <w:pPr>
        <w:widowControl/>
        <w:spacing w:before="240" w:after="240"/>
        <w:jc w:val="center"/>
        <w:rPr>
          <w:rFonts w:ascii="fang_zheng_xiao_biao_song_ti" w:hAnsi="fang_zheng_xiao_biao_song_ti" w:eastAsia="fang_zheng_xiao_biao_song_ti" w:cs="fang_zheng_xiao_biao_song_ti"/>
          <w:b/>
          <w:bCs/>
          <w:color w:val="000000"/>
          <w:kern w:val="0"/>
          <w:sz w:val="36"/>
          <w:szCs w:val="36"/>
        </w:rPr>
      </w:pPr>
    </w:p>
    <w:p w14:paraId="6800B57A">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color w:val="000000"/>
          <w:kern w:val="0"/>
          <w:sz w:val="36"/>
          <w:szCs w:val="36"/>
        </w:rPr>
        <w:t>第一部分 单位概况</w:t>
      </w:r>
    </w:p>
    <w:p w14:paraId="02BAA3B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14:paraId="24D24D58">
      <w:pPr>
        <w:keepNext w:val="0"/>
        <w:keepLines w:val="0"/>
        <w:widowControl/>
        <w:suppressLineNumbers w:val="0"/>
        <w:spacing w:before="100" w:beforeAutospacing="0" w:after="100" w:afterAutospacing="0" w:line="580" w:lineRule="atLeast"/>
        <w:ind w:left="0" w:firstLine="600"/>
        <w:jc w:val="left"/>
        <w:rPr>
          <w:rFonts w:ascii="fang_song_gb2312" w:hAnsi="fang_song_gb2312" w:eastAsia="fang_song_gb2312" w:cs="fang_song_gb2312"/>
          <w:color w:val="0E00FE"/>
          <w:kern w:val="0"/>
          <w:sz w:val="27"/>
          <w:szCs w:val="27"/>
        </w:rPr>
      </w:pPr>
      <w:r>
        <w:rPr>
          <w:rFonts w:hint="default" w:ascii="仿宋_GB2312" w:hAnsi="宋体" w:eastAsia="仿宋_GB2312" w:cs="仿宋_GB2312"/>
          <w:kern w:val="0"/>
          <w:sz w:val="32"/>
          <w:szCs w:val="32"/>
        </w:rPr>
        <w:t>鄂托克旗第二人民医院是由鄂托克旗人民政府于2008年投资新建的一所集医疗教学、预防保健、康复理疗为一体的综合性二级医院。2012年4月22日经鄂尔多斯市卫生局颁发二级医疗机构执业许可证书后正式投入使用，2015年2月晋升为国家</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二级乙等</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医院。</w:t>
      </w:r>
      <w:r>
        <w:rPr>
          <w:rFonts w:ascii="fang_song_gb2312" w:hAnsi="fang_song_gb2312" w:eastAsia="fang_song_gb2312" w:cs="fang_song_gb2312"/>
          <w:color w:val="0E00FE"/>
          <w:kern w:val="0"/>
          <w:sz w:val="27"/>
          <w:szCs w:val="27"/>
        </w:rPr>
        <w:t xml:space="preserve">    </w:t>
      </w:r>
    </w:p>
    <w:p w14:paraId="7288235E">
      <w:pPr>
        <w:widowControl/>
        <w:numPr>
          <w:ilvl w:val="0"/>
          <w:numId w:val="1"/>
        </w:numPr>
        <w:spacing w:before="240" w:after="240"/>
        <w:ind w:left="393" w:leftChars="0" w:firstLine="0" w:firstLineChars="0"/>
        <w:jc w:val="left"/>
        <w:rPr>
          <w:rFonts w:ascii="黑体" w:hAnsi="黑体" w:eastAsia="黑体" w:cs="黑体"/>
          <w:b/>
          <w:bCs/>
          <w:kern w:val="0"/>
          <w:sz w:val="27"/>
          <w:szCs w:val="27"/>
        </w:rPr>
      </w:pPr>
      <w:r>
        <w:rPr>
          <w:rFonts w:ascii="黑体" w:hAnsi="黑体" w:eastAsia="黑体" w:cs="黑体"/>
          <w:b/>
          <w:bCs/>
          <w:kern w:val="0"/>
          <w:sz w:val="27"/>
          <w:szCs w:val="27"/>
        </w:rPr>
        <w:t>单位机构设置及决算单位构成情况</w:t>
      </w:r>
    </w:p>
    <w:p w14:paraId="6CFCF3E0">
      <w:pPr>
        <w:keepNext w:val="0"/>
        <w:keepLines w:val="0"/>
        <w:widowControl/>
        <w:suppressLineNumbers w:val="0"/>
        <w:spacing w:before="100" w:beforeAutospacing="0" w:after="100" w:afterAutospacing="0" w:line="580" w:lineRule="atLeast"/>
        <w:ind w:left="0" w:firstLine="600"/>
        <w:jc w:val="left"/>
        <w:rPr>
          <w:rFonts w:hint="eastAsia" w:ascii="仿宋" w:hAnsi="仿宋" w:eastAsia="仿宋" w:cs="仿宋"/>
          <w:kern w:val="0"/>
          <w:sz w:val="32"/>
          <w:szCs w:val="32"/>
        </w:rPr>
      </w:pPr>
      <w:r>
        <w:rPr>
          <w:rFonts w:hint="eastAsia" w:ascii="仿宋" w:hAnsi="仿宋" w:eastAsia="仿宋" w:cs="仿宋"/>
          <w:kern w:val="0"/>
          <w:sz w:val="32"/>
          <w:szCs w:val="32"/>
        </w:rPr>
        <w:t>根据鄂托克旗第二人民医院职责分公，鄂托克旗第二人民医院内设机构包括办公室、财务科、工会、总务处、内科、外科等机构，属于差额拨款单位。鄂托克旗第二人民医院为独立决算单位，本单位无下属单位。</w:t>
      </w:r>
    </w:p>
    <w:p w14:paraId="0DEC38C7">
      <w:pPr>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从</w:t>
      </w:r>
      <w:r>
        <w:rPr>
          <w:rFonts w:hint="eastAsia" w:ascii="仿宋" w:hAnsi="仿宋" w:eastAsia="仿宋" w:cs="仿宋"/>
          <w:color w:val="auto"/>
          <w:sz w:val="32"/>
          <w:szCs w:val="32"/>
          <w:lang w:val="en-US" w:eastAsia="zh-CN"/>
        </w:rPr>
        <w:t>决算</w:t>
      </w:r>
      <w:r>
        <w:rPr>
          <w:rFonts w:hint="eastAsia" w:ascii="仿宋" w:hAnsi="仿宋" w:eastAsia="仿宋" w:cs="仿宋"/>
          <w:color w:val="auto"/>
          <w:sz w:val="32"/>
          <w:szCs w:val="32"/>
        </w:rPr>
        <w:t>单位构成看，纳入本单位</w:t>
      </w:r>
      <w:r>
        <w:rPr>
          <w:rFonts w:hint="eastAsia" w:ascii="仿宋" w:hAnsi="仿宋" w:eastAsia="仿宋" w:cs="仿宋"/>
          <w:color w:val="auto"/>
          <w:sz w:val="32"/>
          <w:szCs w:val="32"/>
          <w:lang w:val="en-US" w:eastAsia="zh-CN"/>
        </w:rPr>
        <w:t>2024</w:t>
      </w:r>
      <w:r>
        <w:rPr>
          <w:rFonts w:hint="eastAsia" w:ascii="仿宋" w:hAnsi="仿宋" w:eastAsia="仿宋" w:cs="仿宋"/>
          <w:color w:val="auto"/>
          <w:sz w:val="32"/>
          <w:szCs w:val="32"/>
        </w:rPr>
        <w:t>年汇总</w:t>
      </w:r>
      <w:r>
        <w:rPr>
          <w:rFonts w:hint="eastAsia" w:ascii="仿宋" w:hAnsi="仿宋" w:eastAsia="仿宋" w:cs="仿宋"/>
          <w:color w:val="auto"/>
          <w:sz w:val="32"/>
          <w:szCs w:val="32"/>
          <w:lang w:val="en-US" w:eastAsia="zh-CN"/>
        </w:rPr>
        <w:t>决</w:t>
      </w:r>
      <w:r>
        <w:rPr>
          <w:rFonts w:hint="eastAsia" w:ascii="仿宋" w:hAnsi="仿宋" w:eastAsia="仿宋" w:cs="仿宋"/>
          <w:color w:val="auto"/>
          <w:sz w:val="32"/>
          <w:szCs w:val="32"/>
        </w:rPr>
        <w:t>算编制范围的</w:t>
      </w:r>
      <w:r>
        <w:rPr>
          <w:rFonts w:hint="eastAsia" w:ascii="仿宋" w:hAnsi="仿宋" w:eastAsia="仿宋" w:cs="仿宋"/>
          <w:color w:val="auto"/>
          <w:sz w:val="32"/>
          <w:szCs w:val="32"/>
          <w:lang w:val="en-US" w:eastAsia="zh-CN"/>
        </w:rPr>
        <w:t>决</w:t>
      </w:r>
      <w:r>
        <w:rPr>
          <w:rFonts w:hint="eastAsia" w:ascii="仿宋" w:hAnsi="仿宋" w:eastAsia="仿宋" w:cs="仿宋"/>
          <w:color w:val="auto"/>
          <w:sz w:val="32"/>
          <w:szCs w:val="32"/>
        </w:rPr>
        <w:t>算单位共计</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家，具体包括：</w:t>
      </w:r>
      <w:r>
        <w:rPr>
          <w:rFonts w:hint="eastAsia" w:ascii="仿宋" w:hAnsi="仿宋" w:eastAsia="仿宋" w:cs="仿宋"/>
          <w:color w:val="auto"/>
          <w:sz w:val="32"/>
          <w:szCs w:val="32"/>
          <w:lang w:val="en-US" w:eastAsia="zh-CN"/>
        </w:rPr>
        <w:t>鄂托克旗第二人民医院，详细情况见表：</w:t>
      </w:r>
    </w:p>
    <w:tbl>
      <w:tblPr>
        <w:tblStyle w:val="20"/>
        <w:tblW w:w="3515" w:type="pct"/>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566"/>
        <w:gridCol w:w="3172"/>
        <w:gridCol w:w="3140"/>
      </w:tblGrid>
      <w:tr w14:paraId="691753B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jc w:val="center"/>
        </w:trPr>
        <w:tc>
          <w:tcPr>
            <w:tcW w:w="411" w:type="pct"/>
            <w:tcBorders>
              <w:bottom w:val="inset" w:color="808080" w:sz="6" w:space="0"/>
              <w:right w:val="inset" w:color="808080" w:sz="6" w:space="0"/>
            </w:tcBorders>
            <w:noWrap w:val="0"/>
            <w:tcMar>
              <w:top w:w="22" w:type="dxa"/>
              <w:left w:w="22" w:type="dxa"/>
              <w:bottom w:w="22" w:type="dxa"/>
              <w:right w:w="22" w:type="dxa"/>
            </w:tcMar>
            <w:vAlign w:val="center"/>
          </w:tcPr>
          <w:p w14:paraId="7E521AD9">
            <w:pPr>
              <w:widowControl/>
              <w:jc w:val="center"/>
              <w:rPr>
                <w:rFonts w:ascii="Times New Roman" w:hAnsi="Times New Roman" w:eastAsia="Times New Roman" w:cs="Times New Roman"/>
                <w:b w:val="0"/>
                <w:bCs w:val="0"/>
                <w:i w:val="0"/>
                <w:iCs w:val="0"/>
                <w:smallCaps w:val="0"/>
                <w:color w:val="000000"/>
                <w:kern w:val="0"/>
                <w:sz w:val="24"/>
              </w:rPr>
            </w:pPr>
            <w:r>
              <w:rPr>
                <w:rFonts w:ascii="fang_song_gb2312" w:hAnsi="fang_song_gb2312" w:eastAsia="fang_song_gb2312" w:cs="fang_song_gb2312"/>
                <w:b w:val="0"/>
                <w:bCs w:val="0"/>
                <w:i w:val="0"/>
                <w:iCs w:val="0"/>
                <w:smallCaps w:val="0"/>
                <w:color w:val="000000"/>
                <w:kern w:val="0"/>
                <w:sz w:val="24"/>
              </w:rPr>
              <w:t>序号</w:t>
            </w:r>
          </w:p>
        </w:tc>
        <w:tc>
          <w:tcPr>
            <w:tcW w:w="2305" w:type="pct"/>
            <w:tcBorders>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1D46A112">
            <w:pPr>
              <w:widowControl/>
              <w:jc w:val="center"/>
              <w:rPr>
                <w:rFonts w:ascii="Times New Roman" w:hAnsi="Times New Roman" w:eastAsia="Times New Roman" w:cs="Times New Roman"/>
                <w:b w:val="0"/>
                <w:bCs w:val="0"/>
                <w:i w:val="0"/>
                <w:iCs w:val="0"/>
                <w:smallCaps w:val="0"/>
                <w:color w:val="000000"/>
                <w:kern w:val="0"/>
                <w:sz w:val="24"/>
              </w:rPr>
            </w:pPr>
            <w:r>
              <w:rPr>
                <w:rFonts w:ascii="fang_song_gb2312" w:hAnsi="fang_song_gb2312" w:eastAsia="fang_song_gb2312" w:cs="fang_song_gb2312"/>
                <w:b w:val="0"/>
                <w:bCs w:val="0"/>
                <w:i w:val="0"/>
                <w:iCs w:val="0"/>
                <w:smallCaps w:val="0"/>
                <w:color w:val="000000"/>
                <w:kern w:val="0"/>
                <w:sz w:val="24"/>
              </w:rPr>
              <w:t>单位名称</w:t>
            </w:r>
          </w:p>
        </w:tc>
        <w:tc>
          <w:tcPr>
            <w:tcW w:w="2282" w:type="pct"/>
            <w:tcBorders>
              <w:left w:val="inset" w:color="808080" w:sz="6" w:space="0"/>
              <w:bottom w:val="inset" w:color="808080" w:sz="6" w:space="0"/>
            </w:tcBorders>
            <w:noWrap w:val="0"/>
            <w:tcMar>
              <w:top w:w="22" w:type="dxa"/>
              <w:left w:w="22" w:type="dxa"/>
              <w:bottom w:w="22" w:type="dxa"/>
              <w:right w:w="22" w:type="dxa"/>
            </w:tcMar>
            <w:vAlign w:val="center"/>
          </w:tcPr>
          <w:p w14:paraId="1627CC22">
            <w:pPr>
              <w:widowControl/>
              <w:jc w:val="center"/>
              <w:rPr>
                <w:rFonts w:ascii="Times New Roman" w:hAnsi="Times New Roman" w:eastAsia="Times New Roman" w:cs="Times New Roman"/>
                <w:b w:val="0"/>
                <w:bCs w:val="0"/>
                <w:i w:val="0"/>
                <w:iCs w:val="0"/>
                <w:smallCaps w:val="0"/>
                <w:color w:val="000000"/>
                <w:kern w:val="0"/>
                <w:sz w:val="24"/>
              </w:rPr>
            </w:pPr>
            <w:r>
              <w:rPr>
                <w:rFonts w:ascii="fang_song_gb2312" w:hAnsi="fang_song_gb2312" w:eastAsia="fang_song_gb2312" w:cs="fang_song_gb2312"/>
                <w:b w:val="0"/>
                <w:bCs w:val="0"/>
                <w:i w:val="0"/>
                <w:iCs w:val="0"/>
                <w:smallCaps w:val="0"/>
                <w:color w:val="000000"/>
                <w:kern w:val="0"/>
                <w:sz w:val="24"/>
              </w:rPr>
              <w:t>单位性质</w:t>
            </w:r>
          </w:p>
        </w:tc>
      </w:tr>
      <w:tr w14:paraId="69F5AB7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9" w:hRule="atLeast"/>
          <w:jc w:val="center"/>
        </w:trPr>
        <w:tc>
          <w:tcPr>
            <w:tcW w:w="411" w:type="pct"/>
            <w:tcBorders>
              <w:top w:val="inset" w:color="808080" w:sz="6" w:space="0"/>
              <w:right w:val="inset" w:color="808080" w:sz="6" w:space="0"/>
            </w:tcBorders>
            <w:noWrap w:val="0"/>
            <w:tcMar>
              <w:top w:w="22" w:type="dxa"/>
              <w:left w:w="22" w:type="dxa"/>
              <w:bottom w:w="22" w:type="dxa"/>
              <w:right w:w="22" w:type="dxa"/>
            </w:tcMar>
            <w:vAlign w:val="center"/>
          </w:tcPr>
          <w:p w14:paraId="2CEA62A9">
            <w:pPr>
              <w:widowControl/>
              <w:jc w:val="center"/>
              <w:rPr>
                <w:rFonts w:hint="eastAsia" w:ascii="Times New Roman" w:hAnsi="Times New Roman" w:eastAsia="宋体" w:cs="Times New Roman"/>
                <w:b w:val="0"/>
                <w:bCs w:val="0"/>
                <w:i w:val="0"/>
                <w:iCs w:val="0"/>
                <w:smallCaps w:val="0"/>
                <w:color w:val="000000"/>
                <w:kern w:val="0"/>
                <w:sz w:val="24"/>
                <w:lang w:val="en-US" w:eastAsia="zh-CN"/>
              </w:rPr>
            </w:pPr>
            <w:r>
              <w:rPr>
                <w:rFonts w:hint="eastAsia" w:eastAsia="宋体" w:cs="Times New Roman"/>
                <w:b w:val="0"/>
                <w:bCs w:val="0"/>
                <w:i w:val="0"/>
                <w:iCs w:val="0"/>
                <w:smallCaps w:val="0"/>
                <w:color w:val="000000"/>
                <w:kern w:val="0"/>
                <w:sz w:val="24"/>
                <w:lang w:val="en-US" w:eastAsia="zh-CN"/>
              </w:rPr>
              <w:t>1</w:t>
            </w:r>
          </w:p>
        </w:tc>
        <w:tc>
          <w:tcPr>
            <w:tcW w:w="2305" w:type="pct"/>
            <w:tcBorders>
              <w:top w:val="inset" w:color="808080" w:sz="6" w:space="0"/>
              <w:left w:val="inset" w:color="808080" w:sz="6" w:space="0"/>
              <w:right w:val="inset" w:color="808080" w:sz="6" w:space="0"/>
            </w:tcBorders>
            <w:noWrap w:val="0"/>
            <w:tcMar>
              <w:top w:w="22" w:type="dxa"/>
              <w:left w:w="22" w:type="dxa"/>
              <w:bottom w:w="22" w:type="dxa"/>
              <w:right w:w="22" w:type="dxa"/>
            </w:tcMar>
            <w:vAlign w:val="center"/>
          </w:tcPr>
          <w:p w14:paraId="45EA0A21">
            <w:pPr>
              <w:widowControl/>
              <w:jc w:val="left"/>
              <w:rPr>
                <w:rFonts w:hint="default" w:ascii="Times New Roman" w:hAnsi="Times New Roman" w:eastAsia="宋体" w:cs="Times New Roman"/>
                <w:b w:val="0"/>
                <w:bCs w:val="0"/>
                <w:i w:val="0"/>
                <w:iCs w:val="0"/>
                <w:smallCaps w:val="0"/>
                <w:color w:val="000000"/>
                <w:kern w:val="0"/>
                <w:sz w:val="24"/>
                <w:lang w:val="en-US" w:eastAsia="zh-CN"/>
              </w:rPr>
            </w:pPr>
            <w:r>
              <w:rPr>
                <w:rFonts w:hint="eastAsia" w:cs="Times New Roman"/>
                <w:b w:val="0"/>
                <w:bCs w:val="0"/>
                <w:i w:val="0"/>
                <w:iCs w:val="0"/>
                <w:smallCaps w:val="0"/>
                <w:color w:val="000000"/>
                <w:kern w:val="0"/>
                <w:sz w:val="24"/>
                <w:lang w:val="en-US" w:eastAsia="zh-CN"/>
              </w:rPr>
              <w:t>鄂托克旗第二人民医院</w:t>
            </w:r>
          </w:p>
        </w:tc>
        <w:tc>
          <w:tcPr>
            <w:tcW w:w="2282" w:type="pct"/>
            <w:tcBorders>
              <w:top w:val="inset" w:color="808080" w:sz="6" w:space="0"/>
              <w:left w:val="inset" w:color="808080" w:sz="6" w:space="0"/>
            </w:tcBorders>
            <w:noWrap w:val="0"/>
            <w:tcMar>
              <w:top w:w="22" w:type="dxa"/>
              <w:left w:w="22" w:type="dxa"/>
              <w:bottom w:w="22" w:type="dxa"/>
              <w:right w:w="22" w:type="dxa"/>
            </w:tcMar>
            <w:vAlign w:val="center"/>
          </w:tcPr>
          <w:p w14:paraId="28E87628">
            <w:pPr>
              <w:widowControl/>
              <w:jc w:val="left"/>
              <w:rPr>
                <w:rFonts w:ascii="Times New Roman" w:hAnsi="Times New Roman" w:eastAsia="Times New Roman" w:cs="Times New Roman"/>
                <w:b w:val="0"/>
                <w:bCs w:val="0"/>
                <w:i w:val="0"/>
                <w:iCs w:val="0"/>
                <w:smallCaps w:val="0"/>
                <w:color w:val="000000"/>
                <w:kern w:val="0"/>
                <w:sz w:val="24"/>
              </w:rPr>
            </w:pPr>
            <w:r>
              <w:rPr>
                <w:rFonts w:ascii="fang_song_gb2312" w:hAnsi="fang_song_gb2312" w:eastAsia="fang_song_gb2312" w:cs="fang_song_gb2312"/>
                <w:b w:val="0"/>
                <w:bCs w:val="0"/>
                <w:i w:val="0"/>
                <w:iCs w:val="0"/>
                <w:smallCaps w:val="0"/>
                <w:color w:val="000000"/>
                <w:kern w:val="0"/>
                <w:sz w:val="24"/>
              </w:rPr>
              <w:t>公益二类事业单位</w:t>
            </w:r>
          </w:p>
        </w:tc>
      </w:tr>
    </w:tbl>
    <w:p w14:paraId="233BE444">
      <w:pPr>
        <w:widowControl/>
        <w:spacing w:before="240" w:after="240"/>
        <w:jc w:val="left"/>
        <w:rPr>
          <w:rFonts w:ascii="黑体" w:hAnsi="黑体" w:eastAsia="黑体" w:cs="黑体"/>
          <w:b/>
          <w:bCs/>
          <w:kern w:val="0"/>
          <w:sz w:val="27"/>
          <w:szCs w:val="27"/>
        </w:rPr>
      </w:pPr>
      <w:r>
        <w:rPr>
          <w:rFonts w:ascii="Calibri" w:hAnsi="Calibri" w:eastAsia="Calibri" w:cs="Calibri"/>
          <w:b/>
          <w:bCs/>
          <w:kern w:val="0"/>
          <w:sz w:val="27"/>
          <w:szCs w:val="27"/>
        </w:rPr>
        <w:t> </w:t>
      </w:r>
      <w:r>
        <w:rPr>
          <w:rFonts w:ascii="黑体" w:hAnsi="黑体" w:eastAsia="黑体" w:cs="黑体"/>
          <w:b/>
          <w:bCs/>
          <w:kern w:val="0"/>
          <w:sz w:val="27"/>
          <w:szCs w:val="27"/>
        </w:rPr>
        <w:t xml:space="preserve"> 三、202</w:t>
      </w:r>
      <w:r>
        <w:rPr>
          <w:rFonts w:hint="eastAsia" w:ascii="黑体" w:hAnsi="黑体" w:eastAsia="黑体" w:cs="黑体"/>
          <w:b/>
          <w:bCs/>
          <w:kern w:val="0"/>
          <w:sz w:val="27"/>
          <w:szCs w:val="27"/>
          <w:lang w:val="en-US" w:eastAsia="zh-CN"/>
        </w:rPr>
        <w:t>4</w:t>
      </w:r>
      <w:r>
        <w:rPr>
          <w:rFonts w:ascii="黑体" w:hAnsi="黑体" w:eastAsia="黑体" w:cs="黑体"/>
          <w:b/>
          <w:bCs/>
          <w:kern w:val="0"/>
          <w:sz w:val="27"/>
          <w:szCs w:val="27"/>
        </w:rPr>
        <w:t>年度单位主要工作完成情况</w:t>
      </w:r>
    </w:p>
    <w:p w14:paraId="378C67DE">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ascii="Times New Roman" w:hAnsi="Times New Roman" w:eastAsia="Times New Roman" w:cs="Times New Roman"/>
          <w:kern w:val="0"/>
          <w:sz w:val="24"/>
        </w:rPr>
        <w:t xml:space="preserve"> </w:t>
      </w:r>
      <w:r>
        <w:rPr>
          <w:rFonts w:hint="eastAsia" w:ascii="仿宋_GB2312" w:hAnsi="宋体" w:eastAsia="仿宋_GB2312" w:cs="仿宋_GB2312"/>
          <w:kern w:val="0"/>
          <w:sz w:val="32"/>
          <w:szCs w:val="32"/>
        </w:rPr>
        <w:t>1.门急诊全年接诊170435人次，门诊146210人次，比去年同期增加17525人次，同比增长13.6%，全院门诊日均接诊401人次。急诊24225人次，比去年同期减少1766人次，同比降低6.8%；急诊日均接诊66人次。体检41456人次。医院日均服务群众595人次。</w:t>
      </w:r>
    </w:p>
    <w:p w14:paraId="63F55624">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2.年出院患者5192人次，比去年同期增加959人次，同比增加23%。</w:t>
      </w:r>
    </w:p>
    <w:p w14:paraId="19279109">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3.全年诊疗人次（含门诊、急诊、出院、体检）217384人次，比去年同期增加36747人次。</w:t>
      </w:r>
    </w:p>
    <w:p w14:paraId="426B5386">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4.年住院手术1208台次，比去年同期增加128台次，同比增长12%。三级手术占比78%（要求≧40%）；微创手术占比77%（要求≧25%）；出院患者手术占比23%（要求≧15%）。</w:t>
      </w:r>
    </w:p>
    <w:p w14:paraId="54A2EFFB">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5.急诊120出诊1519车次，比去年同期减少了81车次，抢救危急重症214人次，比去年增加99人次，抢救成功率97%。完成上级部门交办的大型卫生应急保障工作任务52次。</w:t>
      </w:r>
    </w:p>
    <w:p w14:paraId="458B20D2">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6.放射科各类检查70333人次，比去年同期减少6066人次，同比降低8.4%。检验科各类检验190002人次，比去年同期减少13547人次，同比降低7.1%。超声科各类检查39180人次，比去年同期增加1999人次，同比增加5.4%。心电图室各类检查5001人次，比去年同期减少589人次，同比降低11%。</w:t>
      </w:r>
    </w:p>
    <w:p w14:paraId="37B3E989">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根据《内蒙古自治区全面深化医药体制改革“三年攻坚行动”方案》《内蒙古自治区卫生健康委关于改善就医感受提升患者体验主题活动实施方案》《鄂尔多斯市医疗服务提升年活动实施方案》等要求，2024年重点在以下方面做了进一步提升。</w:t>
      </w:r>
    </w:p>
    <w:p w14:paraId="0487AD54">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（一）提升优质服务方面</w:t>
      </w:r>
    </w:p>
    <w:p w14:paraId="7483F0ED">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1.在医院门诊大厅设立了书记、院长代表服务岗和志愿服务岗现场解决问题。</w:t>
      </w:r>
    </w:p>
    <w:p w14:paraId="602A102F">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2.增设便民设施，在公共卫生间安装坐便器9个，病房安装坐便扶手114副，极大满足行动不便患者入厕问题。</w:t>
      </w:r>
    </w:p>
    <w:p w14:paraId="398E00A9">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3.购置陪护椅70把，免费供住院患者家属使用，解决陪床人员休息问题。</w:t>
      </w:r>
    </w:p>
    <w:p w14:paraId="4386A730">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4.住院处、内镜中心、血液透析中心、出生医学证明等均开通“一站式”服务模式，让信息多跑路、群众少跑腿。</w:t>
      </w:r>
    </w:p>
    <w:p w14:paraId="34D9E410">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5.加强信息化应用，新开通公众号查阅胶片、报告等功能，满足患者多样化需求。</w:t>
      </w:r>
    </w:p>
    <w:p w14:paraId="2F7B40F2">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6.针对出院特殊患者群体的特殊需求，医院开展延伸护理服务。本年度共上门服务患者37人次。</w:t>
      </w:r>
    </w:p>
    <w:p w14:paraId="10ACD30D">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7.为满足上班族等特殊人群非正常诊疗时间段的就诊问题，2024年7月25日开通延时门诊服务，服务452人次。</w:t>
      </w:r>
    </w:p>
    <w:p w14:paraId="2A7C5A24">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8.4月份落实全市医疗机构检查结果互认制度，共互认结果374条；10月份落实“三日内只收取一次诊察费”要求，落实1500余人次。</w:t>
      </w:r>
    </w:p>
    <w:p w14:paraId="38EC4FAC">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9.改善蒙医康复医学科的诊疗区域，进一步优化结构、科学布局，打造疼痛治疗“一站式”服务，提升患者就医体验。</w:t>
      </w:r>
    </w:p>
    <w:p w14:paraId="11D196AB">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    10.对住院部六楼西病区，完善护理工作站、呼叫系统等，升级为护理单元，提供内科住院床位，极大改善患者住院条件，有效解决了内儿科床位紧张的问题。</w:t>
      </w:r>
    </w:p>
    <w:p w14:paraId="1B980749">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（二）提升服务能力方面</w:t>
      </w:r>
    </w:p>
    <w:p w14:paraId="174405B5">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内儿科有效增加床位，满足住院患者需求，全年完成出院患者3578人次，床位使用率达到90%以上，服务人次达历史新高。内儿科2023年12月向自治区申请建设卒中防治中心，并于2024年年底通过鄂尔多斯市卒中管理医院认证，加入鄂尔多斯市卒中急救医院地图。</w:t>
      </w:r>
    </w:p>
    <w:p w14:paraId="01188564">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2.综合外科通过提高自身、人才引进和专家协作等模式，2024年独立开展经皮椎体成形术（pvp）27例。通过引进骨科专家杜学平开展运动医学专业，开展了关节镜下膝关节腔清理、半月板损伤修复、肩关节肩袖损伤修复、肱二头肌长头损伤修复手术各1例。与内蒙古自治区医院泌尿外科建立合作，开展蓝极光前列腺增生肥大切除手术4例。以上手术的开展和应用效果良好，极大提升科室的服务能力。</w:t>
      </w:r>
    </w:p>
    <w:p w14:paraId="4E8791F7">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3.妇产科不断加强人才队伍建设，率先提出专业技术人员轮训机制，将科室医护人员派出到上级医疗机构进行轮训5人次。引入宫腔镜手术操作系统，自主完成宫腔镜下各类三四级手术和女性生殖器整形手术，均填补了我院此类技术的空白。</w:t>
      </w:r>
    </w:p>
    <w:p w14:paraId="79BA987C">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4.急诊科胸痛中心2024年接诊胸痛患者500余人，确诊心梗患者49人，给予静脉溶栓治疗10人。向胸痛中心总部网站上传胸痛病历208份，高危胸痛病例上传率100%。以上工作为医院下一步开展介入导管室奠定了坚实基础。</w:t>
      </w:r>
    </w:p>
    <w:p w14:paraId="6997540D">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5.加强民族医学在新技术方面的应用，2024年中蒙医康复科团队开展射频消融、PRP治疗和超声引导下疼痛治疗术5824例次，取得了良好的治疗效果和社会效应。</w:t>
      </w:r>
    </w:p>
    <w:p w14:paraId="6F111D06">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6.年住院手术1000余例，手术室克服困难，顺利保障了全院手术开展，你们辛苦了。</w:t>
      </w:r>
    </w:p>
    <w:p w14:paraId="50556DAB">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7.在不断完善建设皮肤科、口腔科、眼科外，2024年3月开展耳鼻喉诊疗项目，7月建设完成心理咨询室建设，在诊疗能力和服务人群方面均取得重大突破。</w:t>
      </w:r>
    </w:p>
    <w:p w14:paraId="6C828C6D">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8.何云门诊全年接诊26391人次，工作日日均接诊100人次，很好彰显了地区名医的影响力。</w:t>
      </w:r>
    </w:p>
    <w:p w14:paraId="477CBD05">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9.为方便患者就医、降低医疗费用、提高医疗资源利用率，2024年6月我院选取6个专业49个病种开展日间手术，完成日间手术40例。</w:t>
      </w:r>
    </w:p>
    <w:p w14:paraId="7463CDCE">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10.放射科依托先进设备，开展MR检查1342人次，CT增强检查431人次，完成各类检查7万余人次，创造了800多万元经济效益。</w:t>
      </w:r>
    </w:p>
    <w:p w14:paraId="1E628B68">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11.检验科，2024年更新大型设备两台，临床微生物送检率、检出率得到大大提升，同时新设备可以开展新检验项目，为临床治疗提供有力保障。</w:t>
      </w:r>
    </w:p>
    <w:p w14:paraId="1A803FF3">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12.超声科梯队建设逐步成型、学习氛围浓厚，通过每年成功举办的超声学术会议，不仅提高科室人员的专业技术能力，也带动医院其他专业的发展。</w:t>
      </w:r>
    </w:p>
    <w:p w14:paraId="1987A457">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13.体检科，在面临地区经济下行和同行业竞争日趋激烈的环境下，仍然能够完成4万余人次的各类体检，成绩取得不易。</w:t>
      </w:r>
    </w:p>
    <w:p w14:paraId="7B132DCC">
      <w:pPr>
        <w:keepNext w:val="0"/>
        <w:keepLines w:val="0"/>
        <w:widowControl/>
        <w:suppressLineNumbers w:val="0"/>
        <w:spacing w:before="100" w:beforeAutospacing="0" w:after="100" w:afterAutospacing="0" w:line="580" w:lineRule="atLeast"/>
        <w:ind w:left="0" w:firstLine="6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14.药剂科较好完成药品采购政策，为我院国家集采药品医保结余留用奖励资金争取到86.8万元。同时进一步优化措施，对特殊患者提供一对一服务，暖心行为得到患者认可。</w:t>
      </w:r>
    </w:p>
    <w:p w14:paraId="1C2C80E4">
      <w:pPr>
        <w:keepNext w:val="0"/>
        <w:keepLines w:val="0"/>
        <w:widowControl/>
        <w:suppressLineNumbers w:val="0"/>
        <w:spacing w:before="100" w:beforeAutospacing="0" w:after="100" w:afterAutospacing="0" w:line="580" w:lineRule="atLeast"/>
        <w:ind w:left="0" w:firstLine="600"/>
        <w:jc w:val="left"/>
        <w:rPr>
          <w:rFonts w:hint="default" w:ascii="仿宋_GB2312" w:hAnsi="宋体" w:eastAsia="仿宋_GB2312" w:cs="仿宋_GB2312"/>
          <w:kern w:val="0"/>
          <w:sz w:val="32"/>
          <w:szCs w:val="32"/>
        </w:rPr>
      </w:pPr>
      <w:r>
        <w:rPr>
          <w:rFonts w:hint="eastAsia" w:ascii="仿宋_GB2312" w:hAnsi="宋体" w:eastAsia="仿宋_GB2312" w:cs="仿宋_GB2312"/>
          <w:kern w:val="0"/>
          <w:sz w:val="32"/>
          <w:szCs w:val="32"/>
        </w:rPr>
        <w:t>15.因各项业务的增加，供应室在人员没有增加的情况下，2024清洗 859车次，比去年增加129车次；灭菌604锅次，比去年增加129锅次。灭菌合格率为100% ，临床服务满意度100% 。</w:t>
      </w:r>
    </w:p>
    <w:p w14:paraId="3B3741F6">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单位决算情况说明</w:t>
      </w:r>
    </w:p>
    <w:p w14:paraId="184CBBF8">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14:paraId="3B337415">
      <w:pPr>
        <w:widowControl/>
        <w:spacing w:before="240" w:after="240"/>
        <w:rPr>
          <w:rFonts w:hint="default" w:ascii="仿宋" w:hAnsi="仿宋" w:eastAsia="仿宋" w:cs="仿宋"/>
          <w:kern w:val="0"/>
          <w:sz w:val="32"/>
          <w:szCs w:val="32"/>
          <w:lang w:val="en-US" w:eastAsia="zh-CN"/>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年度收入、支出决算总计</w:t>
      </w:r>
      <w:r>
        <w:rPr>
          <w:rFonts w:hint="eastAsia" w:ascii="仿宋" w:hAnsi="仿宋" w:eastAsia="仿宋" w:cs="仿宋"/>
          <w:kern w:val="0"/>
          <w:sz w:val="32"/>
          <w:szCs w:val="32"/>
          <w:u w:val="single"/>
        </w:rPr>
        <w:t xml:space="preserve"> 13559.75</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万元。与年初预算相比，收、支总计各</w:t>
      </w:r>
      <w:r>
        <w:rPr>
          <w:rFonts w:hint="eastAsia" w:ascii="仿宋" w:hAnsi="仿宋" w:eastAsia="仿宋" w:cs="仿宋"/>
          <w:kern w:val="0"/>
          <w:sz w:val="32"/>
          <w:szCs w:val="32"/>
          <w:lang w:val="en-US" w:eastAsia="zh-CN"/>
        </w:rPr>
        <w:t>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4167.96</w:t>
      </w:r>
      <w:r>
        <w:rPr>
          <w:rFonts w:hint="eastAsia" w:ascii="仿宋" w:hAnsi="仿宋" w:eastAsia="仿宋" w:cs="仿宋"/>
          <w:kern w:val="0"/>
          <w:sz w:val="32"/>
          <w:szCs w:val="32"/>
        </w:rPr>
        <w:t>万元，</w:t>
      </w:r>
      <w:r>
        <w:rPr>
          <w:rFonts w:hint="eastAsia" w:ascii="仿宋" w:hAnsi="仿宋" w:eastAsia="仿宋" w:cs="仿宋"/>
          <w:kern w:val="0"/>
          <w:sz w:val="32"/>
          <w:szCs w:val="32"/>
          <w:lang w:val="en-US" w:eastAsia="zh-CN"/>
        </w:rPr>
        <w:t>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30.13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1、2023年度财政拨付资金6,272.67万元，2024年度财政拨款收入减少482.44万元；2、本单位医疗事业收入较上年增加</w:t>
      </w:r>
      <w:r>
        <w:rPr>
          <w:rFonts w:hint="eastAsia" w:ascii="仿宋" w:hAnsi="仿宋" w:eastAsia="仿宋" w:cs="仿宋"/>
          <w:kern w:val="0"/>
          <w:sz w:val="32"/>
          <w:szCs w:val="32"/>
          <w:u w:val="none"/>
          <w:lang w:val="en-US" w:eastAsia="zh-CN"/>
        </w:rPr>
        <w:t>809.07</w:t>
      </w:r>
      <w:r>
        <w:rPr>
          <w:rFonts w:hint="eastAsia" w:ascii="仿宋" w:hAnsi="仿宋" w:eastAsia="仿宋" w:cs="仿宋"/>
          <w:kern w:val="0"/>
          <w:sz w:val="32"/>
          <w:szCs w:val="32"/>
          <w:lang w:val="en-US" w:eastAsia="zh-CN"/>
        </w:rPr>
        <w:t>万元；3、财政拨付疫情防控应检尽检项目资金1044.12万元，用于支付疫情期间发生的各项费用4、财政拨付一般性债券资金1100万元用于内蒙古自治区鄂尔多斯市鄂托克旗公立医院医疗设备设施采购项目。</w:t>
      </w:r>
      <w:r>
        <w:rPr>
          <w:rFonts w:hint="eastAsia" w:ascii="仿宋" w:hAnsi="仿宋" w:eastAsia="仿宋" w:cs="仿宋"/>
          <w:kern w:val="0"/>
          <w:sz w:val="32"/>
          <w:szCs w:val="32"/>
        </w:rPr>
        <w:t>与上年决算相比，收、支总计各增加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275.55</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2 </w:t>
      </w:r>
      <w:r>
        <w:rPr>
          <w:rFonts w:hint="eastAsia" w:ascii="仿宋" w:hAnsi="仿宋" w:eastAsia="仿宋" w:cs="仿宋"/>
          <w:kern w:val="0"/>
          <w:sz w:val="32"/>
          <w:szCs w:val="32"/>
        </w:rPr>
        <w:t>%。其中：</w:t>
      </w:r>
      <w:r>
        <w:rPr>
          <w:rFonts w:hint="eastAsia" w:ascii="仿宋" w:hAnsi="仿宋" w:eastAsia="仿宋" w:cs="仿宋"/>
          <w:kern w:val="0"/>
          <w:sz w:val="32"/>
          <w:szCs w:val="32"/>
          <w:lang w:val="en-US" w:eastAsia="zh-CN"/>
        </w:rPr>
        <w:t>本单位医疗事业收入较上年增加</w:t>
      </w:r>
      <w:r>
        <w:rPr>
          <w:rFonts w:hint="eastAsia" w:ascii="仿宋" w:hAnsi="仿宋" w:eastAsia="仿宋" w:cs="仿宋"/>
          <w:kern w:val="0"/>
          <w:sz w:val="32"/>
          <w:szCs w:val="32"/>
          <w:u w:val="none"/>
          <w:lang w:val="en-US" w:eastAsia="zh-CN"/>
        </w:rPr>
        <w:t>809.07</w:t>
      </w:r>
      <w:r>
        <w:rPr>
          <w:rFonts w:hint="eastAsia" w:ascii="仿宋" w:hAnsi="仿宋" w:eastAsia="仿宋" w:cs="仿宋"/>
          <w:kern w:val="0"/>
          <w:sz w:val="32"/>
          <w:szCs w:val="32"/>
          <w:lang w:val="en-US" w:eastAsia="zh-CN"/>
        </w:rPr>
        <w:t>万元。</w:t>
      </w:r>
    </w:p>
    <w:p w14:paraId="579A8981">
      <w:pPr>
        <w:widowControl/>
        <w:spacing w:before="240" w:after="240"/>
        <w:jc w:val="left"/>
        <w:rPr>
          <w:rFonts w:hint="eastAsia" w:ascii="仿宋" w:hAnsi="仿宋" w:eastAsia="仿宋" w:cs="仿宋"/>
          <w:kern w:val="0"/>
          <w:sz w:val="32"/>
          <w:szCs w:val="32"/>
        </w:rPr>
      </w:pPr>
      <w:r>
        <w:rPr>
          <w:rFonts w:hint="eastAsia" w:ascii="仿宋" w:hAnsi="仿宋" w:eastAsia="仿宋" w:cs="仿宋"/>
          <w:b/>
          <w:bCs/>
          <w:kern w:val="0"/>
          <w:sz w:val="32"/>
          <w:szCs w:val="32"/>
        </w:rPr>
        <w:t>    （一）收入决算总计</w:t>
      </w:r>
      <w:r>
        <w:rPr>
          <w:rFonts w:hint="eastAsia" w:ascii="仿宋" w:hAnsi="仿宋" w:eastAsia="仿宋" w:cs="仿宋"/>
          <w:b/>
          <w:bCs/>
          <w:kern w:val="0"/>
          <w:sz w:val="32"/>
          <w:szCs w:val="32"/>
          <w:u w:val="single"/>
        </w:rPr>
        <w:t xml:space="preserve"> 13</w:t>
      </w:r>
      <w:r>
        <w:rPr>
          <w:rFonts w:hint="eastAsia" w:ascii="仿宋" w:hAnsi="仿宋" w:eastAsia="仿宋" w:cs="仿宋"/>
          <w:b/>
          <w:bCs/>
          <w:kern w:val="0"/>
          <w:sz w:val="32"/>
          <w:szCs w:val="32"/>
          <w:u w:val="single"/>
          <w:lang w:val="en-US" w:eastAsia="zh-CN"/>
        </w:rPr>
        <w:t xml:space="preserve">559.75 </w:t>
      </w:r>
      <w:r>
        <w:rPr>
          <w:rFonts w:hint="eastAsia" w:ascii="仿宋" w:hAnsi="仿宋" w:eastAsia="仿宋" w:cs="仿宋"/>
          <w:b/>
          <w:bCs/>
          <w:kern w:val="0"/>
          <w:sz w:val="32"/>
          <w:szCs w:val="32"/>
        </w:rPr>
        <w:t>万元。包括：</w:t>
      </w:r>
    </w:p>
    <w:p w14:paraId="05660DD0">
      <w:pPr>
        <w:widowControl/>
        <w:spacing w:before="240" w:after="240"/>
        <w:ind w:firstLine="504"/>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1.本年收入决算合计</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12198.27 </w:t>
      </w:r>
      <w:r>
        <w:rPr>
          <w:rFonts w:hint="eastAsia" w:ascii="仿宋" w:hAnsi="仿宋" w:eastAsia="仿宋" w:cs="仿宋"/>
          <w:kern w:val="0"/>
          <w:sz w:val="32"/>
          <w:szCs w:val="32"/>
        </w:rPr>
        <w:t>万元。与上年决算相比，</w:t>
      </w:r>
      <w:r>
        <w:rPr>
          <w:rFonts w:hint="eastAsia" w:ascii="仿宋" w:hAnsi="仿宋" w:eastAsia="仿宋" w:cs="仿宋"/>
          <w:kern w:val="0"/>
          <w:sz w:val="32"/>
          <w:szCs w:val="32"/>
          <w:lang w:val="en-US" w:eastAsia="zh-CN"/>
        </w:rPr>
        <w:t>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400.23 </w:t>
      </w:r>
      <w:r>
        <w:rPr>
          <w:rFonts w:hint="eastAsia" w:ascii="仿宋" w:hAnsi="仿宋" w:eastAsia="仿宋" w:cs="仿宋"/>
          <w:kern w:val="0"/>
          <w:sz w:val="32"/>
          <w:szCs w:val="32"/>
        </w:rPr>
        <w:t>万元，</w:t>
      </w:r>
      <w:r>
        <w:rPr>
          <w:rFonts w:hint="eastAsia" w:ascii="仿宋" w:hAnsi="仿宋" w:eastAsia="仿宋" w:cs="仿宋"/>
          <w:kern w:val="0"/>
          <w:sz w:val="32"/>
          <w:szCs w:val="32"/>
          <w:lang w:val="en-US" w:eastAsia="zh-CN"/>
        </w:rPr>
        <w:t>增加</w:t>
      </w:r>
      <w:r>
        <w:rPr>
          <w:rFonts w:hint="eastAsia" w:ascii="仿宋" w:hAnsi="仿宋" w:eastAsia="仿宋" w:cs="仿宋"/>
          <w:kern w:val="0"/>
          <w:sz w:val="32"/>
          <w:szCs w:val="32"/>
          <w:u w:val="single"/>
          <w:lang w:val="en-US" w:eastAsia="zh-CN"/>
        </w:rPr>
        <w:t>3.</w:t>
      </w:r>
      <w:r>
        <w:rPr>
          <w:rFonts w:hint="eastAsia" w:ascii="仿宋" w:hAnsi="仿宋" w:eastAsia="仿宋" w:cs="仿宋"/>
          <w:kern w:val="0"/>
          <w:sz w:val="32"/>
          <w:szCs w:val="32"/>
          <w:u w:val="single"/>
        </w:rPr>
        <w:t>4%</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本单位医疗事业收入较上年增加</w:t>
      </w:r>
      <w:r>
        <w:rPr>
          <w:rFonts w:hint="eastAsia" w:ascii="仿宋" w:hAnsi="仿宋" w:eastAsia="仿宋" w:cs="仿宋"/>
          <w:kern w:val="0"/>
          <w:sz w:val="32"/>
          <w:szCs w:val="32"/>
          <w:u w:val="none"/>
          <w:lang w:val="en-US" w:eastAsia="zh-CN"/>
        </w:rPr>
        <w:t>809.07</w:t>
      </w:r>
      <w:r>
        <w:rPr>
          <w:rFonts w:hint="eastAsia" w:ascii="仿宋" w:hAnsi="仿宋" w:eastAsia="仿宋" w:cs="仿宋"/>
          <w:kern w:val="0"/>
          <w:sz w:val="32"/>
          <w:szCs w:val="32"/>
          <w:lang w:val="en-US" w:eastAsia="zh-CN"/>
        </w:rPr>
        <w:t>万元。</w:t>
      </w:r>
    </w:p>
    <w:p w14:paraId="0AB4F95E">
      <w:pPr>
        <w:widowControl/>
        <w:spacing w:before="240" w:after="240"/>
        <w:ind w:firstLine="504"/>
        <w:rPr>
          <w:rFonts w:hint="eastAsia" w:ascii="仿宋" w:hAnsi="仿宋" w:eastAsia="仿宋" w:cs="仿宋"/>
          <w:kern w:val="0"/>
          <w:sz w:val="32"/>
          <w:szCs w:val="32"/>
        </w:rPr>
      </w:pPr>
      <w:r>
        <w:rPr>
          <w:rFonts w:hint="eastAsia" w:ascii="仿宋" w:hAnsi="仿宋" w:eastAsia="仿宋" w:cs="仿宋"/>
          <w:kern w:val="0"/>
          <w:sz w:val="32"/>
          <w:szCs w:val="32"/>
        </w:rPr>
        <w:t>  2.使用非财政拨款结余和专用结余</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rPr>
        <w:t>%，变动原因：</w:t>
      </w:r>
      <w:r>
        <w:rPr>
          <w:rFonts w:hint="eastAsia" w:ascii="仿宋" w:hAnsi="仿宋" w:eastAsia="仿宋" w:cs="仿宋"/>
          <w:kern w:val="0"/>
          <w:sz w:val="32"/>
          <w:szCs w:val="32"/>
          <w:lang w:eastAsia="zh-CN"/>
        </w:rPr>
        <w:t>我</w:t>
      </w:r>
      <w:r>
        <w:rPr>
          <w:rFonts w:hint="eastAsia" w:ascii="仿宋" w:hAnsi="仿宋" w:eastAsia="仿宋" w:cs="仿宋"/>
          <w:kern w:val="0"/>
          <w:sz w:val="32"/>
          <w:szCs w:val="32"/>
          <w:lang w:val="en-US" w:eastAsia="zh-CN"/>
        </w:rPr>
        <w:t>单位不存在此项内容</w:t>
      </w:r>
      <w:r>
        <w:rPr>
          <w:rFonts w:hint="eastAsia" w:ascii="仿宋" w:hAnsi="仿宋" w:eastAsia="仿宋" w:cs="仿宋"/>
          <w:kern w:val="0"/>
          <w:sz w:val="32"/>
          <w:szCs w:val="32"/>
        </w:rPr>
        <w:t>。</w:t>
      </w:r>
    </w:p>
    <w:p w14:paraId="0473BFEF">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3.年初结转和结余</w:t>
      </w:r>
      <w:r>
        <w:rPr>
          <w:rFonts w:hint="eastAsia" w:ascii="仿宋" w:hAnsi="仿宋" w:eastAsia="仿宋" w:cs="仿宋"/>
          <w:kern w:val="0"/>
          <w:sz w:val="32"/>
          <w:szCs w:val="32"/>
          <w:u w:val="single"/>
          <w:lang w:val="en-US" w:eastAsia="zh-CN"/>
        </w:rPr>
        <w:t xml:space="preserve"> 1361.48 </w:t>
      </w:r>
      <w:r>
        <w:rPr>
          <w:rFonts w:hint="eastAsia" w:ascii="仿宋" w:hAnsi="仿宋" w:eastAsia="仿宋" w:cs="仿宋"/>
          <w:kern w:val="0"/>
          <w:sz w:val="32"/>
          <w:szCs w:val="32"/>
        </w:rPr>
        <w:t>万元。与上年决算相比，</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675.78 </w:t>
      </w:r>
      <w:r>
        <w:rPr>
          <w:rFonts w:hint="eastAsia" w:ascii="仿宋" w:hAnsi="仿宋" w:eastAsia="仿宋" w:cs="仿宋"/>
          <w:kern w:val="0"/>
          <w:sz w:val="32"/>
          <w:szCs w:val="32"/>
        </w:rPr>
        <w:t>万元，</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49.64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随着地区政治经济的不断提升，我单位依据地区形势需不断提升本单位综合服务能力，新增射频控温热凝器、全自动生化免疫检测系统、全自动清洗消毒器、粪大肠菌群分析仪等医疗专用设备，均使用本单位事业收入支出，导致</w:t>
      </w:r>
      <w:r>
        <w:rPr>
          <w:rFonts w:hint="eastAsia" w:ascii="仿宋" w:hAnsi="仿宋" w:eastAsia="仿宋" w:cs="仿宋"/>
          <w:kern w:val="0"/>
          <w:sz w:val="32"/>
          <w:szCs w:val="32"/>
        </w:rPr>
        <w:t>初结转和结余</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rPr>
        <w:t>。</w:t>
      </w:r>
    </w:p>
    <w:p w14:paraId="63D4522C">
      <w:pPr>
        <w:widowControl/>
        <w:spacing w:before="240" w:after="240"/>
        <w:jc w:val="left"/>
        <w:rPr>
          <w:rFonts w:hint="eastAsia" w:ascii="仿宋" w:hAnsi="仿宋" w:eastAsia="仿宋" w:cs="仿宋"/>
          <w:kern w:val="0"/>
          <w:sz w:val="32"/>
          <w:szCs w:val="32"/>
        </w:rPr>
      </w:pPr>
      <w:r>
        <w:rPr>
          <w:rFonts w:ascii="kai_ti_gb2312" w:hAnsi="kai_ti_gb2312" w:eastAsia="kai_ti_gb2312" w:cs="kai_ti_gb2312"/>
          <w:b/>
          <w:bCs/>
          <w:kern w:val="0"/>
          <w:sz w:val="27"/>
          <w:szCs w:val="27"/>
        </w:rPr>
        <w:t>   </w:t>
      </w:r>
      <w:r>
        <w:rPr>
          <w:rFonts w:hint="eastAsia" w:ascii="仿宋" w:hAnsi="仿宋" w:eastAsia="仿宋" w:cs="仿宋"/>
          <w:b/>
          <w:bCs/>
          <w:kern w:val="0"/>
          <w:sz w:val="32"/>
          <w:szCs w:val="32"/>
        </w:rPr>
        <w:t xml:space="preserve"> （二）支出决算总计</w:t>
      </w:r>
      <w:r>
        <w:rPr>
          <w:rFonts w:hint="eastAsia" w:ascii="仿宋" w:hAnsi="仿宋" w:eastAsia="仿宋" w:cs="仿宋"/>
          <w:b/>
          <w:bCs/>
          <w:kern w:val="0"/>
          <w:sz w:val="32"/>
          <w:szCs w:val="32"/>
          <w:u w:val="single"/>
        </w:rPr>
        <w:t xml:space="preserve"> 13</w:t>
      </w:r>
      <w:r>
        <w:rPr>
          <w:rFonts w:hint="eastAsia" w:ascii="仿宋" w:hAnsi="仿宋" w:eastAsia="仿宋" w:cs="仿宋"/>
          <w:b/>
          <w:bCs/>
          <w:kern w:val="0"/>
          <w:sz w:val="32"/>
          <w:szCs w:val="32"/>
          <w:u w:val="single"/>
          <w:lang w:val="en-US" w:eastAsia="zh-CN"/>
        </w:rPr>
        <w:t xml:space="preserve">559.75 </w:t>
      </w:r>
      <w:r>
        <w:rPr>
          <w:rFonts w:hint="eastAsia" w:ascii="仿宋" w:hAnsi="仿宋" w:eastAsia="仿宋" w:cs="仿宋"/>
          <w:b/>
          <w:bCs/>
          <w:kern w:val="0"/>
          <w:sz w:val="32"/>
          <w:szCs w:val="32"/>
        </w:rPr>
        <w:t>万元。包括：</w:t>
      </w:r>
    </w:p>
    <w:p w14:paraId="328661ED">
      <w:pPr>
        <w:widowControl/>
        <w:spacing w:before="240" w:after="240"/>
        <w:rPr>
          <w:rFonts w:hint="default" w:ascii="仿宋" w:hAnsi="仿宋" w:eastAsia="仿宋" w:cs="仿宋"/>
          <w:kern w:val="0"/>
          <w:sz w:val="32"/>
          <w:szCs w:val="32"/>
          <w:lang w:val="en-US"/>
        </w:rPr>
      </w:pPr>
      <w:r>
        <w:rPr>
          <w:rFonts w:hint="eastAsia" w:ascii="仿宋" w:hAnsi="仿宋" w:eastAsia="仿宋" w:cs="仿宋"/>
          <w:kern w:val="0"/>
          <w:sz w:val="32"/>
          <w:szCs w:val="32"/>
        </w:rPr>
        <w:t>    1.本年支出决算合计</w:t>
      </w:r>
      <w:r>
        <w:rPr>
          <w:rFonts w:hint="eastAsia" w:ascii="仿宋" w:hAnsi="仿宋" w:eastAsia="仿宋" w:cs="仿宋"/>
          <w:kern w:val="0"/>
          <w:sz w:val="32"/>
          <w:szCs w:val="32"/>
          <w:u w:val="single"/>
        </w:rPr>
        <w:t xml:space="preserve"> 11693.75</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万元。与上年决算相比，</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780.07</w:t>
      </w:r>
      <w:r>
        <w:rPr>
          <w:rFonts w:hint="eastAsia" w:ascii="仿宋" w:hAnsi="仿宋" w:eastAsia="仿宋" w:cs="仿宋"/>
          <w:kern w:val="0"/>
          <w:sz w:val="32"/>
          <w:szCs w:val="32"/>
        </w:rPr>
        <w:t>万元，增长减少</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6.25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2023年度财政拨付资金6,272.67万元，2024年度财政拨款收入减少482.44万元；财政拨款支出减少导致总支出减少。</w:t>
      </w:r>
    </w:p>
    <w:p w14:paraId="2767589D">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2.结余分配</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万元。结余分配事项：</w:t>
      </w:r>
      <w:r>
        <w:rPr>
          <w:rFonts w:hint="eastAsia" w:ascii="仿宋" w:hAnsi="仿宋" w:eastAsia="仿宋" w:cs="仿宋"/>
          <w:kern w:val="0"/>
          <w:sz w:val="32"/>
          <w:szCs w:val="32"/>
          <w:lang w:eastAsia="zh-CN"/>
        </w:rPr>
        <w:t>我</w:t>
      </w:r>
      <w:r>
        <w:rPr>
          <w:rFonts w:hint="eastAsia" w:ascii="仿宋" w:hAnsi="仿宋" w:eastAsia="仿宋" w:cs="仿宋"/>
          <w:kern w:val="0"/>
          <w:sz w:val="32"/>
          <w:szCs w:val="32"/>
          <w:lang w:val="en-US" w:eastAsia="zh-CN"/>
        </w:rPr>
        <w:t>单位不存在此项内容</w:t>
      </w:r>
      <w:r>
        <w:rPr>
          <w:rFonts w:hint="eastAsia" w:ascii="仿宋" w:hAnsi="仿宋" w:eastAsia="仿宋" w:cs="仿宋"/>
          <w:kern w:val="0"/>
          <w:sz w:val="32"/>
          <w:szCs w:val="32"/>
        </w:rPr>
        <w:t>。与上年决算相比，增加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rPr>
        <w:t>%，变动原因：</w:t>
      </w:r>
      <w:r>
        <w:rPr>
          <w:rFonts w:hint="eastAsia" w:ascii="仿宋" w:hAnsi="仿宋" w:eastAsia="仿宋" w:cs="仿宋"/>
          <w:kern w:val="0"/>
          <w:sz w:val="32"/>
          <w:szCs w:val="32"/>
          <w:lang w:eastAsia="zh-CN"/>
        </w:rPr>
        <w:t>我</w:t>
      </w:r>
      <w:r>
        <w:rPr>
          <w:rFonts w:hint="eastAsia" w:ascii="仿宋" w:hAnsi="仿宋" w:eastAsia="仿宋" w:cs="仿宋"/>
          <w:kern w:val="0"/>
          <w:sz w:val="32"/>
          <w:szCs w:val="32"/>
          <w:lang w:val="en-US" w:eastAsia="zh-CN"/>
        </w:rPr>
        <w:t>单位不存在此项内容</w:t>
      </w:r>
      <w:r>
        <w:rPr>
          <w:rFonts w:hint="eastAsia" w:ascii="仿宋" w:hAnsi="仿宋" w:eastAsia="仿宋" w:cs="仿宋"/>
          <w:kern w:val="0"/>
          <w:sz w:val="32"/>
          <w:szCs w:val="32"/>
        </w:rPr>
        <w:t>。</w:t>
      </w:r>
    </w:p>
    <w:p w14:paraId="07AC30B9">
      <w:pPr>
        <w:widowControl/>
        <w:spacing w:before="240" w:after="240"/>
        <w:rPr>
          <w:rFonts w:hint="default" w:ascii="仿宋" w:hAnsi="仿宋" w:eastAsia="仿宋" w:cs="仿宋"/>
          <w:kern w:val="0"/>
          <w:sz w:val="32"/>
          <w:szCs w:val="32"/>
          <w:lang w:val="en-US"/>
        </w:rPr>
      </w:pPr>
      <w:r>
        <w:rPr>
          <w:rFonts w:hint="eastAsia" w:ascii="仿宋" w:hAnsi="仿宋" w:eastAsia="仿宋" w:cs="仿宋"/>
          <w:kern w:val="0"/>
          <w:sz w:val="32"/>
          <w:szCs w:val="32"/>
        </w:rPr>
        <w:t>    3.年末结转和结余</w:t>
      </w:r>
      <w:r>
        <w:rPr>
          <w:rFonts w:hint="eastAsia" w:ascii="仿宋" w:hAnsi="仿宋" w:eastAsia="仿宋" w:cs="仿宋"/>
          <w:kern w:val="0"/>
          <w:sz w:val="32"/>
          <w:szCs w:val="32"/>
          <w:u w:val="single"/>
        </w:rPr>
        <w:t xml:space="preserve"> 1866</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万元。结转和结余事项：</w:t>
      </w:r>
      <w:r>
        <w:rPr>
          <w:rFonts w:hint="eastAsia" w:ascii="仿宋" w:hAnsi="仿宋" w:eastAsia="仿宋" w:cs="仿宋"/>
          <w:kern w:val="0"/>
          <w:sz w:val="32"/>
          <w:szCs w:val="32"/>
          <w:lang w:val="en-US" w:eastAsia="zh-CN"/>
        </w:rPr>
        <w:t>事业单位自有资金医疗收入结转结余</w:t>
      </w:r>
      <w:r>
        <w:rPr>
          <w:rFonts w:hint="eastAsia" w:ascii="仿宋" w:hAnsi="仿宋" w:eastAsia="仿宋" w:cs="仿宋"/>
          <w:kern w:val="0"/>
          <w:sz w:val="32"/>
          <w:szCs w:val="32"/>
        </w:rPr>
        <w:t>。与上年决算相比，</w:t>
      </w:r>
      <w:r>
        <w:rPr>
          <w:rFonts w:hint="eastAsia" w:ascii="仿宋" w:hAnsi="仿宋" w:eastAsia="仿宋" w:cs="仿宋"/>
          <w:kern w:val="0"/>
          <w:sz w:val="32"/>
          <w:szCs w:val="32"/>
          <w:lang w:val="en-US" w:eastAsia="zh-CN"/>
        </w:rPr>
        <w:t>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504.52</w:t>
      </w:r>
      <w:r>
        <w:rPr>
          <w:rFonts w:hint="eastAsia" w:ascii="仿宋" w:hAnsi="仿宋" w:eastAsia="仿宋" w:cs="仿宋"/>
          <w:kern w:val="0"/>
          <w:sz w:val="32"/>
          <w:szCs w:val="32"/>
        </w:rPr>
        <w:t>万元，</w:t>
      </w:r>
      <w:r>
        <w:rPr>
          <w:rFonts w:hint="eastAsia" w:ascii="仿宋" w:hAnsi="仿宋" w:eastAsia="仿宋" w:cs="仿宋"/>
          <w:kern w:val="0"/>
          <w:sz w:val="32"/>
          <w:szCs w:val="32"/>
          <w:lang w:val="en-US" w:eastAsia="zh-CN"/>
        </w:rPr>
        <w:t>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27.04</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本单位医疗事业收入较上年增加</w:t>
      </w:r>
      <w:r>
        <w:rPr>
          <w:rFonts w:hint="eastAsia" w:ascii="仿宋" w:hAnsi="仿宋" w:eastAsia="仿宋" w:cs="仿宋"/>
          <w:kern w:val="0"/>
          <w:sz w:val="32"/>
          <w:szCs w:val="32"/>
          <w:u w:val="none"/>
          <w:lang w:val="en-US" w:eastAsia="zh-CN"/>
        </w:rPr>
        <w:t>809.07</w:t>
      </w:r>
      <w:r>
        <w:rPr>
          <w:rFonts w:hint="eastAsia" w:ascii="仿宋" w:hAnsi="仿宋" w:eastAsia="仿宋" w:cs="仿宋"/>
          <w:kern w:val="0"/>
          <w:sz w:val="32"/>
          <w:szCs w:val="32"/>
          <w:lang w:val="en-US" w:eastAsia="zh-CN"/>
        </w:rPr>
        <w:t>万元，导致年底结转结余增加。</w:t>
      </w:r>
    </w:p>
    <w:p w14:paraId="37AEA7B7">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14:paraId="4B149F7B">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年度本年收入决算合计</w:t>
      </w:r>
      <w:r>
        <w:rPr>
          <w:rFonts w:hint="eastAsia" w:ascii="仿宋" w:hAnsi="仿宋" w:eastAsia="仿宋" w:cs="仿宋"/>
          <w:kern w:val="0"/>
          <w:sz w:val="32"/>
          <w:szCs w:val="32"/>
          <w:u w:val="single"/>
        </w:rPr>
        <w:t xml:space="preserve"> 12198.27</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万元，其中：</w:t>
      </w:r>
    </w:p>
    <w:p w14:paraId="04889EBC">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本年一般公共预算财政拨款收入</w:t>
      </w:r>
      <w:r>
        <w:rPr>
          <w:rFonts w:hint="eastAsia" w:ascii="仿宋" w:hAnsi="仿宋" w:eastAsia="仿宋" w:cs="仿宋"/>
          <w:kern w:val="0"/>
          <w:sz w:val="32"/>
          <w:szCs w:val="32"/>
          <w:u w:val="single"/>
        </w:rPr>
        <w:t xml:space="preserve"> 5790.23</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47.4</w:t>
      </w:r>
      <w:r>
        <w:rPr>
          <w:rFonts w:hint="eastAsia" w:ascii="仿宋" w:hAnsi="仿宋" w:eastAsia="仿宋" w:cs="仿宋"/>
          <w:kern w:val="0"/>
          <w:sz w:val="32"/>
          <w:szCs w:val="32"/>
          <w:u w:val="single"/>
        </w:rPr>
        <w:t>7</w:t>
      </w:r>
      <w:r>
        <w:rPr>
          <w:rFonts w:hint="eastAsia" w:ascii="仿宋" w:hAnsi="仿宋" w:eastAsia="仿宋" w:cs="仿宋"/>
          <w:kern w:val="0"/>
          <w:sz w:val="32"/>
          <w:szCs w:val="32"/>
        </w:rPr>
        <w:t>%；</w:t>
      </w:r>
    </w:p>
    <w:p w14:paraId="2F0A93F8">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本年政府性基金预算财政拨款收入</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626CCC5D">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本年国有资本经营预算财政拨款收入</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7AC7FA77">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本年上级补助收入</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490D941B">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本年事业收入</w:t>
      </w:r>
      <w:r>
        <w:rPr>
          <w:rFonts w:hint="eastAsia" w:ascii="仿宋" w:hAnsi="仿宋" w:eastAsia="仿宋" w:cs="仿宋"/>
          <w:kern w:val="0"/>
          <w:sz w:val="32"/>
          <w:szCs w:val="32"/>
          <w:u w:val="single"/>
        </w:rPr>
        <w:t xml:space="preserve"> 6254.14</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51.27</w:t>
      </w:r>
      <w:r>
        <w:rPr>
          <w:rFonts w:hint="eastAsia" w:ascii="仿宋" w:hAnsi="仿宋" w:eastAsia="仿宋" w:cs="仿宋"/>
          <w:kern w:val="0"/>
          <w:sz w:val="32"/>
          <w:szCs w:val="32"/>
        </w:rPr>
        <w:t>%；</w:t>
      </w:r>
    </w:p>
    <w:p w14:paraId="18CCAE10">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本年经营收入</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44B5636B">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本年附属单位上缴收入</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41B6BF28">
      <w:pPr>
        <w:widowControl/>
        <w:spacing w:before="240" w:after="240"/>
        <w:ind w:firstLine="497"/>
        <w:rPr>
          <w:rFonts w:hint="eastAsia" w:ascii="仿宋" w:hAnsi="仿宋" w:eastAsia="仿宋" w:cs="仿宋"/>
          <w:kern w:val="0"/>
          <w:sz w:val="32"/>
          <w:szCs w:val="32"/>
        </w:rPr>
      </w:pPr>
      <w:r>
        <w:rPr>
          <w:rFonts w:hint="eastAsia" w:ascii="仿宋" w:hAnsi="仿宋" w:eastAsia="仿宋" w:cs="仿宋"/>
          <w:kern w:val="0"/>
          <w:sz w:val="32"/>
          <w:szCs w:val="32"/>
        </w:rPr>
        <w:t>本年其他收入</w:t>
      </w:r>
      <w:r>
        <w:rPr>
          <w:rFonts w:hint="eastAsia" w:ascii="仿宋" w:hAnsi="仿宋" w:eastAsia="仿宋" w:cs="仿宋"/>
          <w:kern w:val="0"/>
          <w:sz w:val="32"/>
          <w:szCs w:val="32"/>
          <w:u w:val="single"/>
        </w:rPr>
        <w:t xml:space="preserve"> 153.89</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1.2</w:t>
      </w:r>
      <w:r>
        <w:rPr>
          <w:rFonts w:hint="eastAsia" w:ascii="仿宋" w:hAnsi="仿宋" w:eastAsia="仿宋" w:cs="仿宋"/>
          <w:kern w:val="0"/>
          <w:sz w:val="32"/>
          <w:szCs w:val="32"/>
          <w:u w:val="single"/>
        </w:rPr>
        <w:t>6</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w:t>
      </w:r>
    </w:p>
    <w:p w14:paraId="4313DCC9">
      <w:pPr>
        <w:widowControl/>
        <w:spacing w:before="240" w:after="240"/>
        <w:ind w:firstLine="497"/>
        <w:rPr>
          <w:rFonts w:hint="eastAsia" w:ascii="仿宋" w:hAnsi="仿宋" w:eastAsia="仿宋" w:cs="仿宋"/>
          <w:kern w:val="0"/>
          <w:sz w:val="32"/>
          <w:szCs w:val="32"/>
        </w:rPr>
      </w:pPr>
      <w:r>
        <w:rPr>
          <w:rFonts w:hint="eastAsia"/>
          <w:lang w:val="en-US" w:eastAsia="zh-CN"/>
        </w:rPr>
        <w:t xml:space="preserve"> </w:t>
      </w:r>
      <w:r>
        <w:drawing>
          <wp:inline distT="0" distB="0" distL="114300" distR="114300">
            <wp:extent cx="5099050" cy="3441700"/>
            <wp:effectExtent l="4445" t="4445" r="20955" b="20955"/>
            <wp:docPr id="3" name="图表 1" descr="7b0a202020202263686172745265734964223a202232303437363838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73A6068">
      <w:pPr>
        <w:widowControl/>
        <w:spacing w:before="240" w:after="240"/>
        <w:jc w:val="center"/>
        <w:rPr>
          <w:rFonts w:hint="eastAsia" w:ascii="宋体" w:hAnsi="宋体" w:eastAsia="宋体" w:cs="宋体"/>
          <w:kern w:val="0"/>
          <w:sz w:val="24"/>
        </w:rPr>
      </w:pPr>
      <w:r>
        <w:rPr>
          <w:rFonts w:hint="eastAsia" w:ascii="宋体" w:hAnsi="宋体" w:eastAsia="宋体" w:cs="宋体"/>
          <w:kern w:val="0"/>
          <w:sz w:val="27"/>
          <w:szCs w:val="27"/>
        </w:rPr>
        <w:t>图1.收入决算图</w:t>
      </w:r>
    </w:p>
    <w:p w14:paraId="7E95E31D">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14:paraId="2B6C5C15">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xml:space="preserve">  </w:t>
      </w:r>
      <w:r>
        <w:rPr>
          <w:rFonts w:hint="eastAsia" w:ascii="仿宋" w:hAnsi="仿宋" w:eastAsia="仿宋" w:cs="仿宋"/>
          <w:kern w:val="0"/>
          <w:sz w:val="32"/>
          <w:szCs w:val="32"/>
        </w:rPr>
        <w:t>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年度本年支出决算合计</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11693.75</w:t>
      </w:r>
      <w:r>
        <w:rPr>
          <w:rFonts w:hint="eastAsia" w:ascii="仿宋" w:hAnsi="仿宋" w:eastAsia="仿宋" w:cs="仿宋"/>
          <w:kern w:val="0"/>
          <w:sz w:val="32"/>
          <w:szCs w:val="32"/>
        </w:rPr>
        <w:t>万元，其中：</w:t>
      </w:r>
    </w:p>
    <w:p w14:paraId="530453A0">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本年基本支出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9159.38</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7</w:t>
      </w:r>
      <w:r>
        <w:rPr>
          <w:rFonts w:hint="eastAsia" w:ascii="仿宋" w:hAnsi="仿宋" w:eastAsia="仿宋" w:cs="仿宋"/>
          <w:kern w:val="0"/>
          <w:sz w:val="32"/>
          <w:szCs w:val="32"/>
          <w:u w:val="single"/>
          <w:lang w:val="en-US" w:eastAsia="zh-CN"/>
        </w:rPr>
        <w:t>8.33</w:t>
      </w:r>
      <w:r>
        <w:rPr>
          <w:rFonts w:hint="eastAsia" w:ascii="仿宋" w:hAnsi="仿宋" w:eastAsia="仿宋" w:cs="仿宋"/>
          <w:kern w:val="0"/>
          <w:sz w:val="32"/>
          <w:szCs w:val="32"/>
        </w:rPr>
        <w:t>%；</w:t>
      </w:r>
    </w:p>
    <w:p w14:paraId="33C965B7">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本年项目支出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2534.38</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2</w:t>
      </w:r>
      <w:r>
        <w:rPr>
          <w:rFonts w:hint="eastAsia" w:ascii="仿宋" w:hAnsi="仿宋" w:eastAsia="仿宋" w:cs="仿宋"/>
          <w:kern w:val="0"/>
          <w:sz w:val="32"/>
          <w:szCs w:val="32"/>
          <w:u w:val="single"/>
          <w:lang w:val="en-US" w:eastAsia="zh-CN"/>
        </w:rPr>
        <w:t>1.67</w:t>
      </w:r>
      <w:r>
        <w:rPr>
          <w:rFonts w:hint="eastAsia" w:ascii="仿宋" w:hAnsi="仿宋" w:eastAsia="仿宋" w:cs="仿宋"/>
          <w:kern w:val="0"/>
          <w:sz w:val="32"/>
          <w:szCs w:val="32"/>
        </w:rPr>
        <w:t>%；</w:t>
      </w:r>
    </w:p>
    <w:p w14:paraId="0351F734">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本年上缴上级支出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1FB2FF29">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本年经营支出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680FBB27">
      <w:pPr>
        <w:widowControl/>
        <w:spacing w:before="240" w:after="240"/>
        <w:rPr>
          <w:rFonts w:ascii="Times New Roman" w:hAnsi="Times New Roman" w:eastAsia="Times New Roman" w:cs="Times New Roman"/>
          <w:kern w:val="0"/>
          <w:sz w:val="24"/>
        </w:rPr>
      </w:pPr>
      <w:r>
        <w:rPr>
          <w:rFonts w:hint="eastAsia" w:ascii="仿宋" w:hAnsi="仿宋" w:eastAsia="仿宋" w:cs="仿宋"/>
          <w:kern w:val="0"/>
          <w:sz w:val="32"/>
          <w:szCs w:val="32"/>
        </w:rPr>
        <w:t>    本年对附属单位补助支出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w:t>
      </w:r>
    </w:p>
    <w:p w14:paraId="72693235">
      <w:pPr>
        <w:widowControl/>
        <w:spacing w:before="240" w:after="240"/>
        <w:jc w:val="left"/>
        <w:rPr>
          <w:rFonts w:ascii="Times New Roman" w:hAnsi="Times New Roman" w:eastAsia="Times New Roman" w:cs="Times New Roman"/>
          <w:kern w:val="0"/>
          <w:sz w:val="24"/>
        </w:rPr>
      </w:pPr>
      <w:r>
        <w:rPr>
          <w:rFonts w:hint="eastAsia"/>
          <w:lang w:val="en-US" w:eastAsia="zh-CN"/>
        </w:rPr>
        <w:t xml:space="preserve">      </w:t>
      </w:r>
      <w:r>
        <w:drawing>
          <wp:inline distT="0" distB="0" distL="114300" distR="114300">
            <wp:extent cx="5367655" cy="3475990"/>
            <wp:effectExtent l="4445" t="4445" r="19050" b="5715"/>
            <wp:docPr id="2" name="图表 1" descr="7b0a202020202263686172745265734964223a202232303437363838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1D8D73C">
      <w:pPr>
        <w:widowControl/>
        <w:spacing w:before="240" w:after="240"/>
        <w:jc w:val="center"/>
        <w:rPr>
          <w:rFonts w:ascii="Times New Roman" w:hAnsi="Times New Roman" w:eastAsia="Times New Roman" w:cs="Times New Roman"/>
          <w:kern w:val="0"/>
          <w:sz w:val="24"/>
        </w:rPr>
      </w:pPr>
      <w:r>
        <w:rPr>
          <w:rFonts w:hint="eastAsia" w:ascii="宋体" w:hAnsi="宋体" w:eastAsia="宋体" w:cs="宋体"/>
          <w:kern w:val="0"/>
          <w:sz w:val="27"/>
          <w:szCs w:val="27"/>
        </w:rPr>
        <w:t>图2.支出决算图</w:t>
      </w:r>
    </w:p>
    <w:p w14:paraId="18BB61C9">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14:paraId="7C123EED">
      <w:pPr>
        <w:widowControl/>
        <w:spacing w:before="240" w:after="240"/>
        <w:rPr>
          <w:rFonts w:hint="default" w:ascii="仿宋" w:hAnsi="仿宋" w:eastAsia="仿宋" w:cs="仿宋"/>
          <w:kern w:val="0"/>
          <w:sz w:val="32"/>
          <w:szCs w:val="32"/>
          <w:lang w:val="en-US"/>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年度财政拨款收入、支出决算总计</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5790.23</w:t>
      </w:r>
      <w:r>
        <w:rPr>
          <w:rFonts w:hint="eastAsia" w:ascii="仿宋" w:hAnsi="仿宋" w:eastAsia="仿宋" w:cs="仿宋"/>
          <w:kern w:val="0"/>
          <w:sz w:val="32"/>
          <w:szCs w:val="32"/>
        </w:rPr>
        <w:t>万元，与年初预算相比，收、支总计各增加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2198.44</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61.21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1、财政拨付专项资金1044.12万元用于支付疫情防控应检尽检项目；2、财政拨付专项资金1100万元用于内蒙古自治区鄂尔多斯市鄂托克旗公立医院医疗设备设施采购项目</w:t>
      </w:r>
      <w:r>
        <w:rPr>
          <w:rFonts w:hint="eastAsia" w:ascii="仿宋" w:hAnsi="仿宋" w:eastAsia="仿宋" w:cs="仿宋"/>
          <w:kern w:val="0"/>
          <w:sz w:val="32"/>
          <w:szCs w:val="32"/>
        </w:rPr>
        <w:t>；与上年决算相比，收、支总计各</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833.58</w:t>
      </w:r>
      <w:r>
        <w:rPr>
          <w:rFonts w:hint="eastAsia" w:ascii="仿宋" w:hAnsi="仿宋" w:eastAsia="仿宋" w:cs="仿宋"/>
          <w:kern w:val="0"/>
          <w:sz w:val="32"/>
          <w:szCs w:val="32"/>
        </w:rPr>
        <w:t>万元，</w:t>
      </w:r>
      <w:r>
        <w:rPr>
          <w:rFonts w:hint="eastAsia" w:ascii="仿宋" w:hAnsi="仿宋" w:eastAsia="仿宋" w:cs="仿宋"/>
          <w:kern w:val="0"/>
          <w:sz w:val="32"/>
          <w:szCs w:val="32"/>
          <w:lang w:val="en-US" w:eastAsia="zh-CN"/>
        </w:rPr>
        <w:t>降低</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12.58</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1、财政拨付专项资金较上年度减少。</w:t>
      </w:r>
    </w:p>
    <w:p w14:paraId="11396266">
      <w:pPr>
        <w:widowControl/>
        <w:spacing w:before="240" w:after="240"/>
        <w:jc w:val="left"/>
        <w:rPr>
          <w:rFonts w:ascii="Times New Roman" w:hAnsi="Times New Roman" w:eastAsia="Times New Roman" w:cs="Times New Roman"/>
          <w:kern w:val="0"/>
          <w:sz w:val="24"/>
        </w:rPr>
      </w:pPr>
      <w:r>
        <w:rPr>
          <w:rFonts w:hint="eastAsia" w:ascii="仿宋" w:hAnsi="仿宋" w:eastAsia="仿宋" w:cs="仿宋"/>
          <w:b/>
          <w:bCs/>
          <w:kern w:val="0"/>
          <w:sz w:val="32"/>
          <w:szCs w:val="32"/>
        </w:rPr>
        <w:t>    五、一般公共预算财政拨款支出决算情况说明</w:t>
      </w:r>
    </w:p>
    <w:p w14:paraId="117D65AD">
      <w:pPr>
        <w:widowControl/>
        <w:spacing w:before="240" w:after="240"/>
        <w:rPr>
          <w:rFonts w:hint="eastAsia" w:ascii="仿宋" w:hAnsi="仿宋" w:eastAsia="仿宋" w:cs="仿宋"/>
          <w:kern w:val="0"/>
          <w:sz w:val="32"/>
          <w:szCs w:val="32"/>
          <w:highlight w:val="green"/>
        </w:rPr>
      </w:pPr>
      <w:r>
        <w:rPr>
          <w:rFonts w:ascii="fang_song_gb2312" w:hAnsi="fang_song_gb2312" w:eastAsia="fang_song_gb2312" w:cs="fang_song_gb2312"/>
          <w:kern w:val="0"/>
          <w:sz w:val="27"/>
          <w:szCs w:val="27"/>
        </w:rPr>
        <w:t xml:space="preserve">    </w:t>
      </w:r>
      <w:r>
        <w:rPr>
          <w:rFonts w:hint="eastAsia" w:ascii="仿宋" w:hAnsi="仿宋" w:eastAsia="仿宋" w:cs="仿宋"/>
          <w:kern w:val="0"/>
          <w:sz w:val="32"/>
          <w:szCs w:val="32"/>
        </w:rPr>
        <w:t>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年度一般公共预算财政拨款支出决算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5790.23</w:t>
      </w:r>
      <w:r>
        <w:rPr>
          <w:rFonts w:hint="eastAsia" w:ascii="仿宋" w:hAnsi="仿宋" w:eastAsia="仿宋" w:cs="仿宋"/>
          <w:kern w:val="0"/>
          <w:sz w:val="32"/>
          <w:szCs w:val="32"/>
        </w:rPr>
        <w:t>万元。与年初预算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3591.79</w:t>
      </w:r>
      <w:r>
        <w:rPr>
          <w:rFonts w:hint="eastAsia" w:ascii="仿宋" w:hAnsi="仿宋" w:eastAsia="仿宋" w:cs="仿宋"/>
          <w:kern w:val="0"/>
          <w:sz w:val="32"/>
          <w:szCs w:val="32"/>
        </w:rPr>
        <w:t>万元相比，完成年初预算的</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161.21</w:t>
      </w:r>
      <w:r>
        <w:rPr>
          <w:rFonts w:hint="eastAsia" w:ascii="仿宋" w:hAnsi="仿宋" w:eastAsia="仿宋" w:cs="仿宋"/>
          <w:kern w:val="0"/>
          <w:sz w:val="32"/>
          <w:szCs w:val="32"/>
        </w:rPr>
        <w:t>%。其中：</w:t>
      </w:r>
    </w:p>
    <w:p w14:paraId="14C974A9">
      <w:pPr>
        <w:widowControl/>
        <w:spacing w:before="240" w:after="240"/>
        <w:jc w:val="left"/>
        <w:rPr>
          <w:rFonts w:hint="eastAsia" w:ascii="仿宋" w:hAnsi="仿宋" w:eastAsia="仿宋" w:cs="仿宋"/>
          <w:kern w:val="0"/>
          <w:sz w:val="32"/>
          <w:szCs w:val="32"/>
        </w:rPr>
      </w:pPr>
      <w:r>
        <w:rPr>
          <w:rFonts w:hint="eastAsia" w:ascii="仿宋" w:hAnsi="仿宋" w:eastAsia="仿宋" w:cs="仿宋"/>
          <w:b/>
          <w:bCs/>
          <w:kern w:val="0"/>
          <w:sz w:val="32"/>
          <w:szCs w:val="32"/>
        </w:rPr>
        <w:t>    （</w:t>
      </w:r>
      <w:r>
        <w:rPr>
          <w:rFonts w:hint="eastAsia" w:ascii="仿宋" w:hAnsi="仿宋" w:eastAsia="仿宋" w:cs="仿宋"/>
          <w:b/>
          <w:bCs/>
          <w:kern w:val="0"/>
          <w:sz w:val="32"/>
          <w:szCs w:val="32"/>
          <w:lang w:val="en-US" w:eastAsia="zh-CN"/>
        </w:rPr>
        <w:t>一</w:t>
      </w:r>
      <w:r>
        <w:rPr>
          <w:rFonts w:hint="eastAsia" w:ascii="仿宋" w:hAnsi="仿宋" w:eastAsia="仿宋" w:cs="仿宋"/>
          <w:b/>
          <w:bCs/>
          <w:kern w:val="0"/>
          <w:sz w:val="32"/>
          <w:szCs w:val="32"/>
        </w:rPr>
        <w:t>）社会保障和就业支出（类）</w:t>
      </w:r>
    </w:p>
    <w:p w14:paraId="3F8952C2">
      <w:pPr>
        <w:widowControl/>
        <w:spacing w:before="240" w:after="2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社会保障和就业支出类决算数为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418.26</w:t>
      </w:r>
      <w:r>
        <w:rPr>
          <w:rFonts w:hint="eastAsia" w:ascii="仿宋" w:hAnsi="仿宋" w:eastAsia="仿宋" w:cs="仿宋"/>
          <w:kern w:val="0"/>
          <w:sz w:val="32"/>
          <w:szCs w:val="32"/>
        </w:rPr>
        <w:t>万元，与年初预算相比增加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17.85</w:t>
      </w:r>
      <w:r>
        <w:rPr>
          <w:rFonts w:hint="eastAsia" w:ascii="仿宋" w:hAnsi="仿宋" w:eastAsia="仿宋" w:cs="仿宋"/>
          <w:kern w:val="0"/>
          <w:sz w:val="32"/>
          <w:szCs w:val="32"/>
        </w:rPr>
        <w:t>万元。其中：</w:t>
      </w:r>
    </w:p>
    <w:p w14:paraId="0E58620F">
      <w:pPr>
        <w:widowControl/>
        <w:spacing w:before="240" w:after="2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1</w:t>
      </w:r>
      <w:r>
        <w:rPr>
          <w:rFonts w:hint="eastAsia" w:ascii="仿宋" w:hAnsi="仿宋" w:eastAsia="仿宋" w:cs="仿宋"/>
          <w:kern w:val="0"/>
          <w:sz w:val="32"/>
          <w:szCs w:val="32"/>
        </w:rPr>
        <w:t>．行政事业单位养老支出（款）事业单位离退休（项）。年初预算</w:t>
      </w:r>
      <w:r>
        <w:rPr>
          <w:rFonts w:hint="eastAsia" w:ascii="仿宋" w:hAnsi="仿宋" w:eastAsia="仿宋" w:cs="仿宋"/>
          <w:kern w:val="0"/>
          <w:sz w:val="32"/>
          <w:szCs w:val="32"/>
          <w:u w:val="single"/>
          <w:lang w:val="en-US" w:eastAsia="zh-CN"/>
        </w:rPr>
        <w:t>24.82</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24.82</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w:t>
      </w:r>
    </w:p>
    <w:p w14:paraId="1C7CCADE">
      <w:pPr>
        <w:widowControl/>
        <w:spacing w:before="240" w:after="2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2</w:t>
      </w:r>
      <w:r>
        <w:rPr>
          <w:rFonts w:hint="eastAsia" w:ascii="仿宋" w:hAnsi="仿宋" w:eastAsia="仿宋" w:cs="仿宋"/>
          <w:kern w:val="0"/>
          <w:sz w:val="32"/>
          <w:szCs w:val="32"/>
        </w:rPr>
        <w:t>．行政事业单位养老支出（款）机关事业单位基本养老保险缴费支出（项）。年初预算</w:t>
      </w:r>
      <w:r>
        <w:rPr>
          <w:rFonts w:hint="eastAsia" w:ascii="仿宋" w:hAnsi="仿宋" w:eastAsia="仿宋" w:cs="仿宋"/>
          <w:kern w:val="0"/>
          <w:sz w:val="32"/>
          <w:szCs w:val="32"/>
          <w:u w:val="single"/>
          <w:lang w:val="en-US" w:eastAsia="zh-CN"/>
        </w:rPr>
        <w:t>250.39</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264.9</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105.79</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eastAsia="zh-CN"/>
        </w:rPr>
        <w:t>鄂人社干字〔2024〕11号公开招聘11人，鄂人社干字〔2024〕78号人才引进4人。</w:t>
      </w:r>
      <w:r>
        <w:rPr>
          <w:rFonts w:hint="eastAsia" w:ascii="仿宋" w:hAnsi="仿宋" w:eastAsia="仿宋" w:cs="仿宋"/>
          <w:kern w:val="0"/>
          <w:sz w:val="32"/>
          <w:szCs w:val="32"/>
          <w:lang w:val="en-US" w:eastAsia="zh-CN"/>
        </w:rPr>
        <w:t>人员增加导致人员经费各项支出均有所增加</w:t>
      </w:r>
      <w:r>
        <w:rPr>
          <w:rFonts w:hint="eastAsia" w:ascii="仿宋" w:hAnsi="仿宋" w:eastAsia="仿宋" w:cs="仿宋"/>
          <w:kern w:val="0"/>
          <w:sz w:val="32"/>
          <w:szCs w:val="32"/>
        </w:rPr>
        <w:t>。</w:t>
      </w:r>
    </w:p>
    <w:p w14:paraId="039F264D">
      <w:pPr>
        <w:widowControl/>
        <w:spacing w:before="240" w:after="240"/>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．行政事业单位养老支出（款）机关事业单位职业年金缴费支出（项）。年初预算</w:t>
      </w:r>
      <w:r>
        <w:rPr>
          <w:rFonts w:hint="eastAsia" w:ascii="仿宋" w:hAnsi="仿宋" w:eastAsia="仿宋" w:cs="仿宋"/>
          <w:kern w:val="0"/>
          <w:sz w:val="32"/>
          <w:szCs w:val="32"/>
          <w:u w:val="single"/>
          <w:lang w:val="en-US" w:eastAsia="zh-CN"/>
        </w:rPr>
        <w:t>125.2</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128.53</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102.66</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eastAsia="zh-CN"/>
        </w:rPr>
        <w:t>鄂人社干字〔2024〕11号公开招聘11人，鄂人社干字〔2024〕78号人才引进4人。</w:t>
      </w:r>
      <w:r>
        <w:rPr>
          <w:rFonts w:hint="eastAsia" w:ascii="仿宋" w:hAnsi="仿宋" w:eastAsia="仿宋" w:cs="仿宋"/>
          <w:kern w:val="0"/>
          <w:sz w:val="32"/>
          <w:szCs w:val="32"/>
          <w:lang w:val="en-US" w:eastAsia="zh-CN"/>
        </w:rPr>
        <w:t>人员增加导致人员经费各项支出均有所增加</w:t>
      </w:r>
      <w:r>
        <w:rPr>
          <w:rFonts w:hint="eastAsia" w:ascii="仿宋" w:hAnsi="仿宋" w:eastAsia="仿宋" w:cs="仿宋"/>
          <w:kern w:val="0"/>
          <w:sz w:val="32"/>
          <w:szCs w:val="32"/>
        </w:rPr>
        <w:t>。</w:t>
      </w:r>
    </w:p>
    <w:p w14:paraId="5D5D19C6">
      <w:pPr>
        <w:widowControl/>
        <w:spacing w:before="240" w:after="240"/>
        <w:jc w:val="left"/>
        <w:rPr>
          <w:rFonts w:hint="eastAsia" w:ascii="仿宋" w:hAnsi="仿宋" w:eastAsia="仿宋" w:cs="仿宋"/>
          <w:kern w:val="0"/>
          <w:sz w:val="32"/>
          <w:szCs w:val="32"/>
        </w:rPr>
      </w:pPr>
      <w:r>
        <w:rPr>
          <w:rFonts w:hint="eastAsia" w:ascii="仿宋" w:hAnsi="仿宋" w:eastAsia="仿宋" w:cs="仿宋"/>
          <w:b/>
          <w:bCs/>
          <w:kern w:val="0"/>
          <w:sz w:val="32"/>
          <w:szCs w:val="32"/>
        </w:rPr>
        <w:t>    （</w:t>
      </w:r>
      <w:r>
        <w:rPr>
          <w:rFonts w:hint="eastAsia" w:ascii="仿宋" w:hAnsi="仿宋" w:eastAsia="仿宋" w:cs="仿宋"/>
          <w:b/>
          <w:bCs/>
          <w:kern w:val="0"/>
          <w:sz w:val="32"/>
          <w:szCs w:val="32"/>
          <w:lang w:val="en-US" w:eastAsia="zh-CN"/>
        </w:rPr>
        <w:t>二</w:t>
      </w:r>
      <w:r>
        <w:rPr>
          <w:rFonts w:hint="eastAsia" w:ascii="仿宋" w:hAnsi="仿宋" w:eastAsia="仿宋" w:cs="仿宋"/>
          <w:b/>
          <w:bCs/>
          <w:kern w:val="0"/>
          <w:sz w:val="32"/>
          <w:szCs w:val="32"/>
        </w:rPr>
        <w:t>）卫生健康支出（类）</w:t>
      </w:r>
    </w:p>
    <w:p w14:paraId="41625C9A">
      <w:pPr>
        <w:widowControl/>
        <w:spacing w:before="240" w:after="24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卫生健康支出类决算数为</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u w:val="single"/>
          <w:lang w:val="en-US" w:eastAsia="zh-CN"/>
        </w:rPr>
        <w:t>5164.3</w:t>
      </w:r>
      <w:r>
        <w:rPr>
          <w:rFonts w:hint="eastAsia" w:ascii="仿宋" w:hAnsi="仿宋" w:eastAsia="仿宋" w:cs="仿宋"/>
          <w:color w:val="auto"/>
          <w:kern w:val="0"/>
          <w:sz w:val="32"/>
          <w:szCs w:val="32"/>
        </w:rPr>
        <w:t>万元，与年初预算相比增加</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u w:val="single"/>
          <w:lang w:val="en-US" w:eastAsia="zh-CN"/>
        </w:rPr>
        <w:t>2163</w:t>
      </w:r>
      <w:r>
        <w:rPr>
          <w:rFonts w:hint="eastAsia" w:ascii="仿宋" w:hAnsi="仿宋" w:eastAsia="仿宋" w:cs="仿宋"/>
          <w:color w:val="auto"/>
          <w:kern w:val="0"/>
          <w:sz w:val="32"/>
          <w:szCs w:val="32"/>
        </w:rPr>
        <w:t>万元。其中：</w:t>
      </w:r>
    </w:p>
    <w:p w14:paraId="18114342">
      <w:pPr>
        <w:widowControl/>
        <w:spacing w:before="240" w:after="240"/>
        <w:rPr>
          <w:rFonts w:hint="eastAsia" w:ascii="仿宋" w:hAnsi="仿宋" w:eastAsia="仿宋" w:cs="仿宋"/>
          <w:kern w:val="0"/>
          <w:sz w:val="32"/>
          <w:szCs w:val="32"/>
        </w:rPr>
      </w:pPr>
      <w:r>
        <w:rPr>
          <w:rFonts w:hint="eastAsia" w:ascii="仿宋" w:hAnsi="仿宋" w:eastAsia="仿宋" w:cs="仿宋"/>
          <w:color w:val="auto"/>
          <w:kern w:val="0"/>
          <w:sz w:val="32"/>
          <w:szCs w:val="32"/>
        </w:rPr>
        <w:t>    1．</w:t>
      </w:r>
      <w:r>
        <w:rPr>
          <w:rFonts w:hint="eastAsia" w:ascii="仿宋" w:hAnsi="仿宋" w:eastAsia="仿宋" w:cs="仿宋"/>
          <w:color w:val="auto"/>
          <w:kern w:val="0"/>
          <w:sz w:val="32"/>
          <w:szCs w:val="32"/>
          <w:lang w:val="en-US" w:eastAsia="zh-CN"/>
        </w:rPr>
        <w:t>公立医院</w:t>
      </w:r>
      <w:r>
        <w:rPr>
          <w:rFonts w:hint="eastAsia" w:ascii="仿宋" w:hAnsi="仿宋" w:eastAsia="仿宋" w:cs="仿宋"/>
          <w:color w:val="auto"/>
          <w:kern w:val="0"/>
          <w:sz w:val="32"/>
          <w:szCs w:val="32"/>
        </w:rPr>
        <w:t>（款）</w:t>
      </w:r>
      <w:r>
        <w:rPr>
          <w:rFonts w:hint="eastAsia" w:ascii="仿宋" w:hAnsi="仿宋" w:eastAsia="仿宋" w:cs="仿宋"/>
          <w:color w:val="auto"/>
          <w:kern w:val="0"/>
          <w:sz w:val="32"/>
          <w:szCs w:val="32"/>
          <w:lang w:val="en-US" w:eastAsia="zh-CN"/>
        </w:rPr>
        <w:t>综合医院</w:t>
      </w:r>
      <w:r>
        <w:rPr>
          <w:rFonts w:hint="eastAsia" w:ascii="仿宋" w:hAnsi="仿宋" w:eastAsia="仿宋" w:cs="仿宋"/>
          <w:color w:val="auto"/>
          <w:kern w:val="0"/>
          <w:sz w:val="32"/>
          <w:szCs w:val="32"/>
        </w:rPr>
        <w:t>（项）。年初预算</w:t>
      </w:r>
      <w:r>
        <w:rPr>
          <w:rFonts w:hint="eastAsia" w:ascii="仿宋" w:hAnsi="仿宋" w:eastAsia="仿宋" w:cs="仿宋"/>
          <w:color w:val="auto"/>
          <w:kern w:val="0"/>
          <w:sz w:val="32"/>
          <w:szCs w:val="32"/>
          <w:u w:val="single"/>
          <w:lang w:val="en-US" w:eastAsia="zh-CN"/>
        </w:rPr>
        <w:t>2637.76</w:t>
      </w:r>
      <w:r>
        <w:rPr>
          <w:rFonts w:hint="eastAsia" w:ascii="仿宋" w:hAnsi="仿宋" w:eastAsia="仿宋" w:cs="仿宋"/>
          <w:color w:val="auto"/>
          <w:kern w:val="0"/>
          <w:sz w:val="32"/>
          <w:szCs w:val="32"/>
        </w:rPr>
        <w:t>万元，支出决算</w:t>
      </w:r>
      <w:r>
        <w:rPr>
          <w:rFonts w:hint="eastAsia" w:ascii="仿宋" w:hAnsi="仿宋" w:eastAsia="仿宋" w:cs="仿宋"/>
          <w:color w:val="auto"/>
          <w:kern w:val="0"/>
          <w:sz w:val="32"/>
          <w:szCs w:val="32"/>
          <w:u w:val="single"/>
          <w:lang w:val="en-US" w:eastAsia="zh-CN"/>
        </w:rPr>
        <w:t>3874.98</w:t>
      </w:r>
      <w:r>
        <w:rPr>
          <w:rFonts w:hint="eastAsia" w:ascii="仿宋" w:hAnsi="仿宋" w:eastAsia="仿宋" w:cs="仿宋"/>
          <w:color w:val="auto"/>
          <w:kern w:val="0"/>
          <w:sz w:val="32"/>
          <w:szCs w:val="32"/>
        </w:rPr>
        <w:t>万元，完成年初预算的</w:t>
      </w:r>
      <w:r>
        <w:rPr>
          <w:rFonts w:hint="eastAsia" w:ascii="仿宋" w:hAnsi="仿宋" w:eastAsia="仿宋" w:cs="仿宋"/>
          <w:color w:val="auto"/>
          <w:kern w:val="0"/>
          <w:sz w:val="32"/>
          <w:szCs w:val="32"/>
          <w:u w:val="single"/>
          <w:lang w:val="en-US" w:eastAsia="zh-CN"/>
        </w:rPr>
        <w:t>146.9</w:t>
      </w:r>
      <w:r>
        <w:rPr>
          <w:rFonts w:hint="eastAsia" w:ascii="仿宋" w:hAnsi="仿宋" w:eastAsia="仿宋" w:cs="仿宋"/>
          <w:color w:val="auto"/>
          <w:kern w:val="0"/>
          <w:sz w:val="32"/>
          <w:szCs w:val="32"/>
        </w:rPr>
        <w:t>%。</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val="en-US" w:eastAsia="zh-CN"/>
        </w:rPr>
        <w:t>1、财政拨付专项资金1044.12万元用于支付疫情防控应检尽检项目；2、财政拨付专项资金1100万元用于内蒙古自治区鄂尔多斯市鄂托克旗公立医院医疗设备设施采购项目</w:t>
      </w:r>
      <w:r>
        <w:rPr>
          <w:rFonts w:hint="eastAsia" w:ascii="仿宋" w:hAnsi="仿宋" w:eastAsia="仿宋" w:cs="仿宋"/>
          <w:kern w:val="0"/>
          <w:sz w:val="32"/>
          <w:szCs w:val="32"/>
        </w:rPr>
        <w:t>。</w:t>
      </w:r>
    </w:p>
    <w:p w14:paraId="4C944463">
      <w:pPr>
        <w:widowControl/>
        <w:spacing w:before="240" w:after="240"/>
        <w:ind w:firstLine="497"/>
        <w:rPr>
          <w:rFonts w:hint="eastAsia" w:ascii="仿宋" w:hAnsi="仿宋" w:eastAsia="仿宋" w:cs="仿宋"/>
          <w:kern w:val="0"/>
          <w:sz w:val="32"/>
          <w:szCs w:val="32"/>
        </w:rPr>
      </w:pPr>
      <w:r>
        <w:rPr>
          <w:rFonts w:hint="eastAsia" w:ascii="仿宋" w:hAnsi="仿宋" w:eastAsia="仿宋" w:cs="仿宋"/>
          <w:kern w:val="0"/>
          <w:sz w:val="32"/>
          <w:szCs w:val="32"/>
        </w:rPr>
        <w:t>2．</w:t>
      </w:r>
      <w:r>
        <w:rPr>
          <w:rFonts w:hint="eastAsia" w:ascii="仿宋" w:hAnsi="仿宋" w:eastAsia="仿宋" w:cs="仿宋"/>
          <w:kern w:val="0"/>
          <w:sz w:val="32"/>
          <w:szCs w:val="32"/>
          <w:lang w:val="en-US" w:eastAsia="zh-CN"/>
        </w:rPr>
        <w:t>公立医院</w:t>
      </w:r>
      <w:r>
        <w:rPr>
          <w:rFonts w:hint="eastAsia" w:ascii="仿宋" w:hAnsi="仿宋" w:eastAsia="仿宋" w:cs="仿宋"/>
          <w:kern w:val="0"/>
          <w:sz w:val="32"/>
          <w:szCs w:val="32"/>
        </w:rPr>
        <w:t>（款）其他公立医院支出（项）。年初预算</w:t>
      </w:r>
      <w:r>
        <w:rPr>
          <w:rFonts w:hint="eastAsia" w:ascii="仿宋" w:hAnsi="仿宋" w:eastAsia="仿宋" w:cs="仿宋"/>
          <w:kern w:val="0"/>
          <w:sz w:val="32"/>
          <w:szCs w:val="32"/>
          <w:u w:val="single"/>
          <w:lang w:val="en-US" w:eastAsia="zh-CN"/>
        </w:rPr>
        <w:t xml:space="preserve"> 18 </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18</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w:t>
      </w:r>
    </w:p>
    <w:p w14:paraId="116A7033">
      <w:pPr>
        <w:widowControl/>
        <w:spacing w:before="240" w:after="240"/>
        <w:ind w:firstLine="497"/>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3、公共卫生</w:t>
      </w:r>
      <w:r>
        <w:rPr>
          <w:rFonts w:hint="eastAsia" w:ascii="仿宋" w:hAnsi="仿宋" w:eastAsia="仿宋" w:cs="仿宋"/>
          <w:kern w:val="0"/>
          <w:sz w:val="32"/>
          <w:szCs w:val="32"/>
        </w:rPr>
        <w:t>（款）基本公共卫生服务（项）。年初预算</w:t>
      </w:r>
      <w:r>
        <w:rPr>
          <w:rFonts w:hint="eastAsia" w:ascii="仿宋" w:hAnsi="仿宋" w:eastAsia="仿宋" w:cs="仿宋"/>
          <w:kern w:val="0"/>
          <w:sz w:val="32"/>
          <w:szCs w:val="32"/>
          <w:u w:val="single"/>
          <w:lang w:val="en-US" w:eastAsia="zh-CN"/>
        </w:rPr>
        <w:t xml:space="preserve"> 14 </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20.25</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144.64</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val="en-US" w:eastAsia="zh-CN"/>
        </w:rPr>
        <w:t>财政拨付</w:t>
      </w:r>
      <w:r>
        <w:rPr>
          <w:rFonts w:hint="eastAsia" w:ascii="仿宋" w:hAnsi="仿宋" w:eastAsia="仿宋" w:cs="仿宋"/>
          <w:kern w:val="0"/>
          <w:sz w:val="32"/>
          <w:szCs w:val="32"/>
        </w:rPr>
        <w:t>2024年中央医疗服务与保障能力提升项目</w:t>
      </w:r>
      <w:r>
        <w:rPr>
          <w:rFonts w:hint="eastAsia" w:ascii="仿宋" w:hAnsi="仿宋" w:eastAsia="仿宋" w:cs="仿宋"/>
          <w:kern w:val="0"/>
          <w:sz w:val="32"/>
          <w:szCs w:val="32"/>
          <w:lang w:val="en-US" w:eastAsia="zh-CN"/>
        </w:rPr>
        <w:t>资金3.25万元，财政拨付基本公共卫生服务补助资金2.99万元</w:t>
      </w:r>
      <w:r>
        <w:rPr>
          <w:rFonts w:hint="eastAsia" w:ascii="仿宋" w:hAnsi="仿宋" w:eastAsia="仿宋" w:cs="仿宋"/>
          <w:kern w:val="0"/>
          <w:sz w:val="32"/>
          <w:szCs w:val="32"/>
        </w:rPr>
        <w:t>。</w:t>
      </w:r>
    </w:p>
    <w:p w14:paraId="0CBEB437">
      <w:pPr>
        <w:widowControl/>
        <w:spacing w:before="240" w:after="240"/>
        <w:ind w:firstLine="497"/>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4.公共卫生</w:t>
      </w:r>
      <w:r>
        <w:rPr>
          <w:rFonts w:hint="eastAsia" w:ascii="仿宋" w:hAnsi="仿宋" w:eastAsia="仿宋" w:cs="仿宋"/>
          <w:kern w:val="0"/>
          <w:sz w:val="32"/>
          <w:szCs w:val="32"/>
        </w:rPr>
        <w:t>（款）重大公共卫生服务（项）。年初预算</w:t>
      </w:r>
      <w:r>
        <w:rPr>
          <w:rFonts w:hint="eastAsia" w:ascii="仿宋" w:hAnsi="仿宋" w:eastAsia="仿宋" w:cs="仿宋"/>
          <w:kern w:val="0"/>
          <w:sz w:val="32"/>
          <w:szCs w:val="32"/>
          <w:u w:val="single"/>
          <w:lang w:val="en-US" w:eastAsia="zh-CN"/>
        </w:rPr>
        <w:t xml:space="preserve"> 1.3 </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8.8</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676.92</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val="en-US" w:eastAsia="zh-CN"/>
        </w:rPr>
        <w:t>财政拨付</w:t>
      </w:r>
      <w:r>
        <w:rPr>
          <w:rFonts w:hint="eastAsia" w:ascii="仿宋" w:hAnsi="仿宋" w:eastAsia="仿宋" w:cs="仿宋"/>
          <w:kern w:val="0"/>
          <w:sz w:val="32"/>
          <w:szCs w:val="32"/>
        </w:rPr>
        <w:t>基本公共卫生服务精神卫生防治项目</w:t>
      </w:r>
      <w:r>
        <w:rPr>
          <w:rFonts w:hint="eastAsia" w:ascii="仿宋" w:hAnsi="仿宋" w:eastAsia="仿宋" w:cs="仿宋"/>
          <w:kern w:val="0"/>
          <w:sz w:val="32"/>
          <w:szCs w:val="32"/>
          <w:lang w:val="en-US" w:eastAsia="zh-CN"/>
        </w:rPr>
        <w:t>资金、2024年中央重大传染病防控经费7.5万元</w:t>
      </w:r>
      <w:r>
        <w:rPr>
          <w:rFonts w:hint="eastAsia" w:ascii="仿宋" w:hAnsi="仿宋" w:eastAsia="仿宋" w:cs="仿宋"/>
          <w:kern w:val="0"/>
          <w:sz w:val="32"/>
          <w:szCs w:val="32"/>
        </w:rPr>
        <w:t>。</w:t>
      </w:r>
    </w:p>
    <w:p w14:paraId="0D3277C9">
      <w:pPr>
        <w:widowControl/>
        <w:spacing w:before="240" w:after="240"/>
        <w:ind w:firstLine="497"/>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5.公共卫生</w:t>
      </w:r>
      <w:r>
        <w:rPr>
          <w:rFonts w:hint="eastAsia" w:ascii="仿宋" w:hAnsi="仿宋" w:eastAsia="仿宋" w:cs="仿宋"/>
          <w:kern w:val="0"/>
          <w:sz w:val="32"/>
          <w:szCs w:val="32"/>
        </w:rPr>
        <w:t>（款）突发公共卫生事件应急处理（项）。年初预算</w:t>
      </w:r>
      <w:r>
        <w:rPr>
          <w:rFonts w:hint="eastAsia" w:ascii="仿宋" w:hAnsi="仿宋" w:eastAsia="仿宋" w:cs="仿宋"/>
          <w:kern w:val="0"/>
          <w:sz w:val="32"/>
          <w:szCs w:val="32"/>
          <w:u w:val="single"/>
          <w:lang w:val="en-US" w:eastAsia="zh-CN"/>
        </w:rPr>
        <w:t xml:space="preserve"> 55.48 </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1094.13</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1972.12</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val="en-US" w:eastAsia="zh-CN"/>
        </w:rPr>
        <w:t>财政拨付疫情防控应检尽检项目资金1044.12万元</w:t>
      </w:r>
      <w:r>
        <w:rPr>
          <w:rFonts w:hint="eastAsia" w:ascii="仿宋" w:hAnsi="仿宋" w:eastAsia="仿宋" w:cs="仿宋"/>
          <w:kern w:val="0"/>
          <w:sz w:val="32"/>
          <w:szCs w:val="32"/>
        </w:rPr>
        <w:t>。</w:t>
      </w:r>
    </w:p>
    <w:p w14:paraId="1B3AB857">
      <w:pPr>
        <w:widowControl/>
        <w:spacing w:before="240" w:after="240"/>
        <w:ind w:firstLine="497"/>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6.公共卫生</w:t>
      </w:r>
      <w:r>
        <w:rPr>
          <w:rFonts w:hint="eastAsia" w:ascii="仿宋" w:hAnsi="仿宋" w:eastAsia="仿宋" w:cs="仿宋"/>
          <w:kern w:val="0"/>
          <w:sz w:val="32"/>
          <w:szCs w:val="32"/>
        </w:rPr>
        <w:t>（款）其他公共卫生支出（项）。年初预算</w:t>
      </w:r>
      <w:r>
        <w:rPr>
          <w:rFonts w:hint="eastAsia" w:ascii="仿宋" w:hAnsi="仿宋" w:eastAsia="仿宋" w:cs="仿宋"/>
          <w:kern w:val="0"/>
          <w:sz w:val="32"/>
          <w:szCs w:val="32"/>
          <w:u w:val="single"/>
          <w:lang w:val="en-US" w:eastAsia="zh-CN"/>
        </w:rPr>
        <w:t xml:space="preserve"> 140.18 </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4</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2.85</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val="en-US" w:eastAsia="zh-CN"/>
        </w:rPr>
        <w:t>财政拨付年初拨付2024年中央医疗服务与保障能力提升项目资金140万元，年中因拨付款项存在问题主管部门收回该笔项目款。</w:t>
      </w:r>
    </w:p>
    <w:p w14:paraId="63A5DA2A">
      <w:pPr>
        <w:widowControl/>
        <w:spacing w:before="240" w:after="240"/>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7</w:t>
      </w:r>
      <w:r>
        <w:rPr>
          <w:rFonts w:hint="eastAsia" w:ascii="仿宋" w:hAnsi="仿宋" w:eastAsia="仿宋" w:cs="仿宋"/>
          <w:kern w:val="0"/>
          <w:sz w:val="32"/>
          <w:szCs w:val="32"/>
        </w:rPr>
        <w:t>．行政事业单位医疗（款）事业单位医疗（项）。年初预算</w:t>
      </w:r>
      <w:r>
        <w:rPr>
          <w:rFonts w:hint="eastAsia" w:ascii="仿宋" w:hAnsi="仿宋" w:eastAsia="仿宋" w:cs="仿宋"/>
          <w:kern w:val="0"/>
          <w:sz w:val="32"/>
          <w:szCs w:val="32"/>
          <w:u w:val="single"/>
          <w:lang w:val="en-US" w:eastAsia="zh-CN"/>
        </w:rPr>
        <w:t>134.59</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144.13</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107.09</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eastAsia="zh-CN"/>
        </w:rPr>
        <w:t>鄂人社干字〔2024〕11号公开招聘11人，鄂人社干字〔2024〕78号人才引进4人。</w:t>
      </w:r>
      <w:r>
        <w:rPr>
          <w:rFonts w:hint="eastAsia" w:ascii="仿宋" w:hAnsi="仿宋" w:eastAsia="仿宋" w:cs="仿宋"/>
          <w:kern w:val="0"/>
          <w:sz w:val="32"/>
          <w:szCs w:val="32"/>
          <w:lang w:val="en-US" w:eastAsia="zh-CN"/>
        </w:rPr>
        <w:t>人员增加导致人员经费各项支出均有所增加</w:t>
      </w:r>
      <w:r>
        <w:rPr>
          <w:rFonts w:hint="eastAsia" w:ascii="仿宋" w:hAnsi="仿宋" w:eastAsia="仿宋" w:cs="仿宋"/>
          <w:kern w:val="0"/>
          <w:sz w:val="32"/>
          <w:szCs w:val="32"/>
        </w:rPr>
        <w:t>。</w:t>
      </w:r>
    </w:p>
    <w:p w14:paraId="1B53DA37">
      <w:pPr>
        <w:widowControl/>
        <w:spacing w:before="240" w:after="240"/>
        <w:jc w:val="left"/>
        <w:rPr>
          <w:rFonts w:hint="eastAsia" w:ascii="仿宋" w:hAnsi="仿宋" w:eastAsia="仿宋" w:cs="仿宋"/>
          <w:kern w:val="0"/>
          <w:sz w:val="32"/>
          <w:szCs w:val="32"/>
        </w:rPr>
      </w:pPr>
      <w:r>
        <w:rPr>
          <w:rFonts w:hint="eastAsia" w:ascii="仿宋" w:hAnsi="仿宋" w:eastAsia="仿宋" w:cs="仿宋"/>
          <w:b/>
          <w:bCs/>
          <w:kern w:val="0"/>
          <w:sz w:val="32"/>
          <w:szCs w:val="32"/>
        </w:rPr>
        <w:t>    （</w:t>
      </w:r>
      <w:r>
        <w:rPr>
          <w:rFonts w:hint="eastAsia" w:ascii="仿宋" w:hAnsi="仿宋" w:eastAsia="仿宋" w:cs="仿宋"/>
          <w:b/>
          <w:bCs/>
          <w:kern w:val="0"/>
          <w:sz w:val="32"/>
          <w:szCs w:val="32"/>
          <w:lang w:val="en-US" w:eastAsia="zh-CN"/>
        </w:rPr>
        <w:t>三</w:t>
      </w:r>
      <w:r>
        <w:rPr>
          <w:rFonts w:hint="eastAsia" w:ascii="仿宋" w:hAnsi="仿宋" w:eastAsia="仿宋" w:cs="仿宋"/>
          <w:b/>
          <w:bCs/>
          <w:kern w:val="0"/>
          <w:sz w:val="32"/>
          <w:szCs w:val="32"/>
        </w:rPr>
        <w:t>）住房保障支出（类）</w:t>
      </w:r>
    </w:p>
    <w:p w14:paraId="4D6CB349">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住房保障支出类决算数为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207.67</w:t>
      </w:r>
      <w:r>
        <w:rPr>
          <w:rFonts w:hint="eastAsia" w:ascii="仿宋" w:hAnsi="仿宋" w:eastAsia="仿宋" w:cs="仿宋"/>
          <w:kern w:val="0"/>
          <w:sz w:val="32"/>
          <w:szCs w:val="32"/>
        </w:rPr>
        <w:t>万元，与年初预算相比增加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17.6</w:t>
      </w:r>
      <w:r>
        <w:rPr>
          <w:rFonts w:hint="eastAsia" w:ascii="仿宋" w:hAnsi="仿宋" w:eastAsia="仿宋" w:cs="仿宋"/>
          <w:kern w:val="0"/>
          <w:sz w:val="32"/>
          <w:szCs w:val="32"/>
        </w:rPr>
        <w:t>万元。其中：</w:t>
      </w:r>
    </w:p>
    <w:p w14:paraId="49DC7AF0">
      <w:pPr>
        <w:widowControl/>
        <w:spacing w:before="240" w:after="240"/>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    1．住房改革支出（款）住房公积金（项）。年初预算</w:t>
      </w:r>
      <w:r>
        <w:rPr>
          <w:rFonts w:hint="eastAsia" w:ascii="仿宋" w:hAnsi="仿宋" w:eastAsia="仿宋" w:cs="仿宋"/>
          <w:kern w:val="0"/>
          <w:sz w:val="32"/>
          <w:szCs w:val="32"/>
          <w:u w:val="single"/>
          <w:lang w:val="en-US" w:eastAsia="zh-CN"/>
        </w:rPr>
        <w:t>190.07</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lang w:val="en-US" w:eastAsia="zh-CN"/>
        </w:rPr>
        <w:t>207.67</w:t>
      </w:r>
      <w:r>
        <w:rPr>
          <w:rFonts w:hint="eastAsia" w:ascii="仿宋" w:hAnsi="仿宋" w:eastAsia="仿宋" w:cs="仿宋"/>
          <w:kern w:val="0"/>
          <w:sz w:val="32"/>
          <w:szCs w:val="32"/>
        </w:rPr>
        <w:t>万元，完成年初预算的</w:t>
      </w:r>
      <w:r>
        <w:rPr>
          <w:rFonts w:hint="eastAsia" w:ascii="仿宋" w:hAnsi="仿宋" w:eastAsia="仿宋" w:cs="仿宋"/>
          <w:kern w:val="0"/>
          <w:sz w:val="32"/>
          <w:szCs w:val="32"/>
          <w:u w:val="single"/>
          <w:lang w:val="en-US" w:eastAsia="zh-CN"/>
        </w:rPr>
        <w:t>109.26</w:t>
      </w:r>
      <w:r>
        <w:rPr>
          <w:rFonts w:hint="eastAsia" w:ascii="仿宋" w:hAnsi="仿宋" w:eastAsia="仿宋" w:cs="仿宋"/>
          <w:kern w:val="0"/>
          <w:sz w:val="32"/>
          <w:szCs w:val="32"/>
        </w:rPr>
        <w:t>%。决算数与年初预算数的差异原因：</w:t>
      </w:r>
      <w:r>
        <w:rPr>
          <w:rFonts w:hint="eastAsia" w:ascii="仿宋" w:hAnsi="仿宋" w:eastAsia="仿宋" w:cs="仿宋"/>
          <w:kern w:val="0"/>
          <w:sz w:val="32"/>
          <w:szCs w:val="32"/>
          <w:lang w:eastAsia="zh-CN"/>
        </w:rPr>
        <w:t>鄂人社干字〔2024〕11号公开招聘11人，鄂人社干字〔2024〕78号人才引进4人。</w:t>
      </w:r>
      <w:r>
        <w:rPr>
          <w:rFonts w:hint="eastAsia" w:ascii="仿宋" w:hAnsi="仿宋" w:eastAsia="仿宋" w:cs="仿宋"/>
          <w:kern w:val="0"/>
          <w:sz w:val="32"/>
          <w:szCs w:val="32"/>
          <w:lang w:val="en-US" w:eastAsia="zh-CN"/>
        </w:rPr>
        <w:t>人员增加导致人员经费各项支出均有所增加</w:t>
      </w:r>
      <w:r>
        <w:rPr>
          <w:rFonts w:hint="eastAsia" w:ascii="仿宋" w:hAnsi="仿宋" w:eastAsia="仿宋" w:cs="仿宋"/>
          <w:kern w:val="0"/>
          <w:sz w:val="32"/>
          <w:szCs w:val="32"/>
        </w:rPr>
        <w:t>。</w:t>
      </w:r>
    </w:p>
    <w:p w14:paraId="65FE6A34">
      <w:pPr>
        <w:widowControl/>
        <w:spacing w:before="240" w:after="240"/>
        <w:ind w:firstLine="270" w:firstLineChars="10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14:paraId="25D9CF87">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kern w:val="0"/>
          <w:sz w:val="27"/>
          <w:szCs w:val="27"/>
        </w:rPr>
        <w:t xml:space="preserve">    </w:t>
      </w:r>
      <w:r>
        <w:rPr>
          <w:rFonts w:hint="eastAsia" w:ascii="仿宋" w:hAnsi="仿宋" w:eastAsia="仿宋" w:cs="仿宋"/>
          <w:kern w:val="0"/>
          <w:sz w:val="32"/>
          <w:szCs w:val="32"/>
        </w:rPr>
        <w:t>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年度一般公共预算财政拨款基本支出决算</w:t>
      </w:r>
      <w:r>
        <w:rPr>
          <w:rFonts w:hint="eastAsia" w:ascii="仿宋" w:hAnsi="仿宋" w:eastAsia="仿宋" w:cs="仿宋"/>
          <w:kern w:val="0"/>
          <w:sz w:val="32"/>
          <w:szCs w:val="32"/>
          <w:u w:val="single"/>
        </w:rPr>
        <w:t xml:space="preserve"> 3</w:t>
      </w:r>
      <w:r>
        <w:rPr>
          <w:rFonts w:hint="eastAsia" w:ascii="仿宋" w:hAnsi="仿宋" w:eastAsia="仿宋" w:cs="仿宋"/>
          <w:kern w:val="0"/>
          <w:sz w:val="32"/>
          <w:szCs w:val="32"/>
          <w:u w:val="single"/>
          <w:lang w:val="en-US" w:eastAsia="zh-CN"/>
        </w:rPr>
        <w:t>255</w:t>
      </w:r>
      <w:r>
        <w:rPr>
          <w:rFonts w:hint="eastAsia" w:ascii="仿宋" w:hAnsi="仿宋" w:eastAsia="仿宋" w:cs="仿宋"/>
          <w:kern w:val="0"/>
          <w:sz w:val="32"/>
          <w:szCs w:val="32"/>
          <w:u w:val="single"/>
        </w:rPr>
        <w:t>.85</w:t>
      </w:r>
      <w:r>
        <w:rPr>
          <w:rFonts w:hint="eastAsia" w:ascii="仿宋" w:hAnsi="仿宋" w:eastAsia="仿宋" w:cs="仿宋"/>
          <w:kern w:val="0"/>
          <w:sz w:val="32"/>
          <w:szCs w:val="32"/>
        </w:rPr>
        <w:t>万元，其中：</w:t>
      </w:r>
    </w:p>
    <w:p w14:paraId="04AC0A10">
      <w:pPr>
        <w:widowControl/>
        <w:spacing w:before="240" w:after="240"/>
        <w:rPr>
          <w:rFonts w:hint="eastAsia" w:ascii="仿宋" w:hAnsi="仿宋" w:eastAsia="仿宋" w:cs="仿宋"/>
          <w:kern w:val="0"/>
          <w:sz w:val="32"/>
          <w:szCs w:val="32"/>
        </w:rPr>
      </w:pPr>
      <w:r>
        <w:rPr>
          <w:rFonts w:hint="eastAsia" w:ascii="仿宋" w:hAnsi="仿宋" w:eastAsia="仿宋" w:cs="仿宋"/>
          <w:b/>
          <w:bCs/>
          <w:kern w:val="0"/>
          <w:sz w:val="32"/>
          <w:szCs w:val="32"/>
        </w:rPr>
        <w:t>    （一）人员经费</w:t>
      </w:r>
      <w:r>
        <w:rPr>
          <w:rFonts w:hint="eastAsia" w:ascii="仿宋" w:hAnsi="仿宋" w:eastAsia="仿宋" w:cs="仿宋"/>
          <w:kern w:val="0"/>
          <w:sz w:val="32"/>
          <w:szCs w:val="32"/>
          <w:u w:val="single"/>
        </w:rPr>
        <w:t xml:space="preserve"> 2</w:t>
      </w:r>
      <w:r>
        <w:rPr>
          <w:rFonts w:hint="eastAsia" w:ascii="仿宋" w:hAnsi="仿宋" w:eastAsia="仿宋" w:cs="仿宋"/>
          <w:kern w:val="0"/>
          <w:sz w:val="32"/>
          <w:szCs w:val="32"/>
          <w:u w:val="single"/>
          <w:lang w:val="en-US" w:eastAsia="zh-CN"/>
        </w:rPr>
        <w:t>839.32</w:t>
      </w:r>
      <w:r>
        <w:rPr>
          <w:rFonts w:hint="eastAsia" w:ascii="仿宋" w:hAnsi="仿宋" w:eastAsia="仿宋" w:cs="仿宋"/>
          <w:b/>
          <w:bCs/>
          <w:kern w:val="0"/>
          <w:sz w:val="32"/>
          <w:szCs w:val="32"/>
        </w:rPr>
        <w:t>万元</w:t>
      </w:r>
      <w:r>
        <w:rPr>
          <w:rFonts w:hint="eastAsia" w:ascii="仿宋" w:hAnsi="仿宋" w:eastAsia="仿宋" w:cs="仿宋"/>
          <w:kern w:val="0"/>
          <w:sz w:val="32"/>
          <w:szCs w:val="32"/>
        </w:rPr>
        <w:t>。主要包括：机关事业单位基本养老保险缴费</w:t>
      </w:r>
      <w:r>
        <w:rPr>
          <w:rFonts w:hint="eastAsia" w:ascii="仿宋" w:hAnsi="仿宋" w:eastAsia="仿宋" w:cs="仿宋"/>
          <w:kern w:val="0"/>
          <w:sz w:val="32"/>
          <w:szCs w:val="32"/>
          <w:lang w:val="en-US" w:eastAsia="zh-CN"/>
        </w:rPr>
        <w:t>264.9万元</w:t>
      </w:r>
      <w:r>
        <w:rPr>
          <w:rFonts w:hint="eastAsia" w:ascii="仿宋" w:hAnsi="仿宋" w:eastAsia="仿宋" w:cs="仿宋"/>
          <w:kern w:val="0"/>
          <w:sz w:val="32"/>
          <w:szCs w:val="32"/>
        </w:rPr>
        <w:t>、职业年金缴费</w:t>
      </w:r>
      <w:r>
        <w:rPr>
          <w:rFonts w:hint="eastAsia" w:ascii="仿宋" w:hAnsi="仿宋" w:eastAsia="仿宋" w:cs="仿宋"/>
          <w:kern w:val="0"/>
          <w:sz w:val="32"/>
          <w:szCs w:val="32"/>
          <w:lang w:val="en-US" w:eastAsia="zh-CN"/>
        </w:rPr>
        <w:t>128.53万元、职工基本医疗保险缴费144.13万元、其他社会保障缴费33.58万元、住房公积金207.67万元、</w:t>
      </w:r>
      <w:r>
        <w:rPr>
          <w:rFonts w:hint="eastAsia" w:ascii="仿宋" w:hAnsi="仿宋" w:eastAsia="仿宋" w:cs="仿宋"/>
          <w:kern w:val="0"/>
          <w:sz w:val="32"/>
          <w:szCs w:val="32"/>
        </w:rPr>
        <w:t>其他工资福利支出</w:t>
      </w:r>
      <w:r>
        <w:rPr>
          <w:rFonts w:hint="eastAsia" w:ascii="仿宋" w:hAnsi="仿宋" w:eastAsia="仿宋" w:cs="仿宋"/>
          <w:kern w:val="0"/>
          <w:sz w:val="32"/>
          <w:szCs w:val="32"/>
          <w:lang w:val="en-US" w:eastAsia="zh-CN"/>
        </w:rPr>
        <w:t>2031.38万元</w:t>
      </w:r>
      <w:r>
        <w:rPr>
          <w:rFonts w:hint="eastAsia" w:ascii="仿宋" w:hAnsi="仿宋" w:eastAsia="仿宋" w:cs="仿宋"/>
          <w:kern w:val="0"/>
          <w:sz w:val="32"/>
          <w:szCs w:val="32"/>
        </w:rPr>
        <w:t>、退休费</w:t>
      </w:r>
      <w:r>
        <w:rPr>
          <w:rFonts w:hint="eastAsia" w:ascii="仿宋" w:hAnsi="仿宋" w:eastAsia="仿宋" w:cs="仿宋"/>
          <w:kern w:val="0"/>
          <w:sz w:val="32"/>
          <w:szCs w:val="32"/>
          <w:lang w:val="en-US" w:eastAsia="zh-CN"/>
        </w:rPr>
        <w:t>24.82万元</w:t>
      </w:r>
      <w:r>
        <w:rPr>
          <w:rFonts w:hint="eastAsia" w:ascii="仿宋" w:hAnsi="仿宋" w:eastAsia="仿宋" w:cs="仿宋"/>
          <w:kern w:val="0"/>
          <w:sz w:val="32"/>
          <w:szCs w:val="32"/>
        </w:rPr>
        <w:t>、生活补助</w:t>
      </w:r>
      <w:r>
        <w:rPr>
          <w:rFonts w:hint="eastAsia" w:ascii="仿宋" w:hAnsi="仿宋" w:eastAsia="仿宋" w:cs="仿宋"/>
          <w:kern w:val="0"/>
          <w:sz w:val="32"/>
          <w:szCs w:val="32"/>
          <w:lang w:val="en-US" w:eastAsia="zh-CN"/>
        </w:rPr>
        <w:t>4.29万元</w:t>
      </w:r>
      <w:r>
        <w:rPr>
          <w:rFonts w:hint="eastAsia" w:ascii="仿宋" w:hAnsi="仿宋" w:eastAsia="仿宋" w:cs="仿宋"/>
          <w:kern w:val="0"/>
          <w:sz w:val="32"/>
          <w:szCs w:val="32"/>
        </w:rPr>
        <w:t>等。</w:t>
      </w:r>
    </w:p>
    <w:p w14:paraId="71ACE317">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b/>
          <w:bCs/>
          <w:kern w:val="0"/>
          <w:sz w:val="27"/>
          <w:szCs w:val="27"/>
        </w:rPr>
        <w:t> </w:t>
      </w:r>
      <w:r>
        <w:rPr>
          <w:rFonts w:hint="eastAsia" w:ascii="仿宋" w:hAnsi="仿宋" w:eastAsia="仿宋" w:cs="仿宋"/>
          <w:b/>
          <w:bCs/>
          <w:kern w:val="0"/>
          <w:sz w:val="32"/>
          <w:szCs w:val="32"/>
        </w:rPr>
        <w:t xml:space="preserve">   （二）公用经费</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416.53</w:t>
      </w:r>
      <w:r>
        <w:rPr>
          <w:rFonts w:hint="eastAsia" w:ascii="仿宋" w:hAnsi="仿宋" w:eastAsia="仿宋" w:cs="仿宋"/>
          <w:b/>
          <w:bCs/>
          <w:kern w:val="0"/>
          <w:sz w:val="32"/>
          <w:szCs w:val="32"/>
        </w:rPr>
        <w:t>万元</w:t>
      </w:r>
      <w:r>
        <w:rPr>
          <w:rFonts w:hint="eastAsia" w:ascii="仿宋" w:hAnsi="仿宋" w:eastAsia="仿宋" w:cs="仿宋"/>
          <w:kern w:val="0"/>
          <w:sz w:val="32"/>
          <w:szCs w:val="32"/>
        </w:rPr>
        <w:t>。主要包括：取暖费</w:t>
      </w:r>
      <w:r>
        <w:rPr>
          <w:rFonts w:hint="eastAsia" w:ascii="仿宋" w:hAnsi="仿宋" w:eastAsia="仿宋" w:cs="仿宋"/>
          <w:kern w:val="0"/>
          <w:sz w:val="32"/>
          <w:szCs w:val="32"/>
          <w:lang w:val="en-US" w:eastAsia="zh-CN"/>
        </w:rPr>
        <w:t>58.19万元</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物业管理费162万元、</w:t>
      </w:r>
      <w:r>
        <w:rPr>
          <w:rFonts w:hint="eastAsia" w:ascii="仿宋" w:hAnsi="仿宋" w:eastAsia="仿宋" w:cs="仿宋"/>
          <w:kern w:val="0"/>
          <w:sz w:val="32"/>
          <w:szCs w:val="32"/>
        </w:rPr>
        <w:t>工会经费</w:t>
      </w:r>
      <w:r>
        <w:rPr>
          <w:rFonts w:hint="eastAsia" w:ascii="仿宋" w:hAnsi="仿宋" w:eastAsia="仿宋" w:cs="仿宋"/>
          <w:kern w:val="0"/>
          <w:sz w:val="32"/>
          <w:szCs w:val="32"/>
          <w:lang w:val="en-US" w:eastAsia="zh-CN"/>
        </w:rPr>
        <w:t>35.76万元</w:t>
      </w:r>
      <w:r>
        <w:rPr>
          <w:rFonts w:hint="eastAsia" w:ascii="仿宋" w:hAnsi="仿宋" w:eastAsia="仿宋" w:cs="仿宋"/>
          <w:kern w:val="0"/>
          <w:sz w:val="32"/>
          <w:szCs w:val="32"/>
        </w:rPr>
        <w:t>、福利费</w:t>
      </w:r>
      <w:r>
        <w:rPr>
          <w:rFonts w:hint="eastAsia" w:ascii="仿宋" w:hAnsi="仿宋" w:eastAsia="仿宋" w:cs="仿宋"/>
          <w:kern w:val="0"/>
          <w:sz w:val="32"/>
          <w:szCs w:val="32"/>
          <w:lang w:val="en-US" w:eastAsia="zh-CN"/>
        </w:rPr>
        <w:t>47.18万元、其他交通费用113.4万元</w:t>
      </w:r>
      <w:r>
        <w:rPr>
          <w:rFonts w:hint="eastAsia" w:ascii="仿宋" w:hAnsi="仿宋" w:eastAsia="仿宋" w:cs="仿宋"/>
          <w:kern w:val="0"/>
          <w:sz w:val="32"/>
          <w:szCs w:val="32"/>
        </w:rPr>
        <w:t>等。</w:t>
      </w:r>
    </w:p>
    <w:p w14:paraId="2E6CEDDD">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14:paraId="1710350D">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xml:space="preserve">  </w:t>
      </w:r>
      <w:r>
        <w:rPr>
          <w:rFonts w:hint="eastAsia" w:ascii="仿宋" w:hAnsi="仿宋" w:eastAsia="仿宋" w:cs="仿宋"/>
          <w:kern w:val="0"/>
          <w:sz w:val="32"/>
          <w:szCs w:val="32"/>
        </w:rPr>
        <w:t>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年度一般公共预算财政拨款项目支出决算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2534.38</w:t>
      </w:r>
      <w:r>
        <w:rPr>
          <w:rFonts w:hint="eastAsia" w:ascii="仿宋" w:hAnsi="仿宋" w:eastAsia="仿宋" w:cs="仿宋"/>
          <w:kern w:val="0"/>
          <w:sz w:val="32"/>
          <w:szCs w:val="32"/>
        </w:rPr>
        <w:t>万元，其中：</w:t>
      </w:r>
    </w:p>
    <w:p w14:paraId="4C3ADF2E">
      <w:pPr>
        <w:widowControl/>
        <w:spacing w:before="240" w:after="240"/>
        <w:rPr>
          <w:rFonts w:hint="eastAsia" w:ascii="仿宋" w:hAnsi="仿宋" w:eastAsia="仿宋" w:cs="仿宋"/>
          <w:kern w:val="0"/>
          <w:sz w:val="32"/>
          <w:szCs w:val="32"/>
        </w:rPr>
      </w:pPr>
      <w:r>
        <w:rPr>
          <w:rFonts w:hint="eastAsia" w:ascii="仿宋" w:hAnsi="仿宋" w:eastAsia="仿宋" w:cs="仿宋"/>
          <w:b/>
          <w:bCs/>
          <w:kern w:val="0"/>
          <w:sz w:val="32"/>
          <w:szCs w:val="32"/>
        </w:rPr>
        <w:t>    （一）工资福利支出</w:t>
      </w:r>
      <w:r>
        <w:rPr>
          <w:rFonts w:hint="eastAsia" w:ascii="仿宋" w:hAnsi="仿宋" w:eastAsia="仿宋" w:cs="仿宋"/>
          <w:kern w:val="0"/>
          <w:sz w:val="32"/>
          <w:szCs w:val="32"/>
          <w:u w:val="single"/>
        </w:rPr>
        <w:t xml:space="preserve"> 0.00</w:t>
      </w:r>
      <w:r>
        <w:rPr>
          <w:rFonts w:hint="eastAsia" w:ascii="仿宋" w:hAnsi="仿宋" w:eastAsia="仿宋" w:cs="仿宋"/>
          <w:b/>
          <w:bCs/>
          <w:kern w:val="0"/>
          <w:sz w:val="32"/>
          <w:szCs w:val="32"/>
        </w:rPr>
        <w:t>万元</w:t>
      </w:r>
      <w:r>
        <w:rPr>
          <w:rFonts w:hint="eastAsia" w:ascii="仿宋" w:hAnsi="仿宋" w:eastAsia="仿宋" w:cs="仿宋"/>
          <w:kern w:val="0"/>
          <w:sz w:val="32"/>
          <w:szCs w:val="32"/>
        </w:rPr>
        <w:t>。主要包括：基本工资、津贴补贴、奖金、伙食补助费、绩效工资、机关事业单位基本养老保险缴费、职业年金缴费、职工基本医疗保险缴费、公务员医疗补助缴费、其他社会保障缴费、住房公积金、医疗费、其他工资福利支出等。</w:t>
      </w:r>
    </w:p>
    <w:p w14:paraId="6E1A551B">
      <w:pPr>
        <w:widowControl/>
        <w:spacing w:before="240" w:after="240"/>
        <w:ind w:firstLine="499"/>
        <w:rPr>
          <w:rFonts w:hint="eastAsia" w:ascii="仿宋" w:hAnsi="仿宋" w:eastAsia="仿宋" w:cs="仿宋"/>
          <w:kern w:val="0"/>
          <w:sz w:val="32"/>
          <w:szCs w:val="32"/>
        </w:rPr>
      </w:pPr>
      <w:r>
        <w:rPr>
          <w:rFonts w:hint="eastAsia" w:ascii="仿宋" w:hAnsi="仿宋" w:eastAsia="仿宋" w:cs="仿宋"/>
          <w:b/>
          <w:bCs/>
          <w:kern w:val="0"/>
          <w:sz w:val="32"/>
          <w:szCs w:val="32"/>
        </w:rPr>
        <w:t>（二）商品和服务支出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1150.49</w:t>
      </w:r>
      <w:r>
        <w:rPr>
          <w:rFonts w:hint="eastAsia" w:ascii="仿宋" w:hAnsi="仿宋" w:eastAsia="仿宋" w:cs="仿宋"/>
          <w:b/>
          <w:bCs/>
          <w:kern w:val="0"/>
          <w:sz w:val="32"/>
          <w:szCs w:val="32"/>
        </w:rPr>
        <w:t>万元</w:t>
      </w:r>
      <w:r>
        <w:rPr>
          <w:rFonts w:hint="eastAsia" w:ascii="仿宋" w:hAnsi="仿宋" w:eastAsia="仿宋" w:cs="仿宋"/>
          <w:kern w:val="0"/>
          <w:sz w:val="32"/>
          <w:szCs w:val="32"/>
        </w:rPr>
        <w:t>。主要包括：维修（护）费</w:t>
      </w:r>
      <w:r>
        <w:rPr>
          <w:rFonts w:hint="eastAsia" w:ascii="仿宋" w:hAnsi="仿宋" w:eastAsia="仿宋" w:cs="仿宋"/>
          <w:kern w:val="0"/>
          <w:sz w:val="32"/>
          <w:szCs w:val="32"/>
          <w:lang w:val="en-US" w:eastAsia="zh-CN"/>
        </w:rPr>
        <w:t>22万元</w:t>
      </w:r>
      <w:r>
        <w:rPr>
          <w:rFonts w:hint="eastAsia" w:ascii="仿宋" w:hAnsi="仿宋" w:eastAsia="仿宋" w:cs="仿宋"/>
          <w:kern w:val="0"/>
          <w:sz w:val="32"/>
          <w:szCs w:val="32"/>
        </w:rPr>
        <w:t>、专用材料费</w:t>
      </w:r>
      <w:r>
        <w:rPr>
          <w:rFonts w:hint="eastAsia" w:ascii="仿宋" w:hAnsi="仿宋" w:eastAsia="仿宋" w:cs="仿宋"/>
          <w:kern w:val="0"/>
          <w:sz w:val="32"/>
          <w:szCs w:val="32"/>
          <w:lang w:val="en-US" w:eastAsia="zh-CN"/>
        </w:rPr>
        <w:t>911.57万元</w:t>
      </w:r>
      <w:r>
        <w:rPr>
          <w:rFonts w:hint="eastAsia" w:ascii="仿宋" w:hAnsi="仿宋" w:eastAsia="仿宋" w:cs="仿宋"/>
          <w:kern w:val="0"/>
          <w:sz w:val="32"/>
          <w:szCs w:val="32"/>
        </w:rPr>
        <w:t>、劳务费</w:t>
      </w:r>
      <w:r>
        <w:rPr>
          <w:rFonts w:hint="eastAsia" w:ascii="仿宋" w:hAnsi="仿宋" w:eastAsia="仿宋" w:cs="仿宋"/>
          <w:kern w:val="0"/>
          <w:sz w:val="32"/>
          <w:szCs w:val="32"/>
          <w:lang w:val="en-US" w:eastAsia="zh-CN"/>
        </w:rPr>
        <w:t>100万元</w:t>
      </w:r>
      <w:r>
        <w:rPr>
          <w:rFonts w:hint="eastAsia" w:ascii="仿宋" w:hAnsi="仿宋" w:eastAsia="仿宋" w:cs="仿宋"/>
          <w:kern w:val="0"/>
          <w:sz w:val="32"/>
          <w:szCs w:val="32"/>
        </w:rPr>
        <w:t>、其他商品和服务支出</w:t>
      </w:r>
      <w:r>
        <w:rPr>
          <w:rFonts w:hint="eastAsia" w:ascii="仿宋" w:hAnsi="仿宋" w:eastAsia="仿宋" w:cs="仿宋"/>
          <w:kern w:val="0"/>
          <w:sz w:val="32"/>
          <w:szCs w:val="32"/>
          <w:lang w:val="en-US" w:eastAsia="zh-CN"/>
        </w:rPr>
        <w:t>116.92万元</w:t>
      </w:r>
      <w:r>
        <w:rPr>
          <w:rFonts w:hint="eastAsia" w:ascii="仿宋" w:hAnsi="仿宋" w:eastAsia="仿宋" w:cs="仿宋"/>
          <w:kern w:val="0"/>
          <w:sz w:val="32"/>
          <w:szCs w:val="32"/>
        </w:rPr>
        <w:t>等。</w:t>
      </w:r>
    </w:p>
    <w:p w14:paraId="36FC048D">
      <w:pPr>
        <w:widowControl/>
        <w:spacing w:before="240" w:after="240"/>
        <w:ind w:firstLine="499"/>
        <w:rPr>
          <w:rFonts w:hint="eastAsia" w:ascii="仿宋" w:hAnsi="仿宋" w:eastAsia="仿宋" w:cs="仿宋"/>
          <w:kern w:val="0"/>
          <w:sz w:val="32"/>
          <w:szCs w:val="32"/>
          <w:lang w:val="en-US" w:eastAsia="zh-CN"/>
        </w:rPr>
      </w:pPr>
      <w:r>
        <w:rPr>
          <w:rFonts w:hint="eastAsia" w:ascii="仿宋" w:hAnsi="仿宋" w:eastAsia="仿宋" w:cs="仿宋"/>
          <w:b/>
          <w:bCs/>
          <w:kern w:val="0"/>
          <w:sz w:val="32"/>
          <w:szCs w:val="32"/>
        </w:rPr>
        <w:t>（</w:t>
      </w:r>
      <w:r>
        <w:rPr>
          <w:rFonts w:hint="eastAsia" w:ascii="仿宋" w:hAnsi="仿宋" w:eastAsia="仿宋" w:cs="仿宋"/>
          <w:b/>
          <w:bCs/>
          <w:kern w:val="0"/>
          <w:sz w:val="32"/>
          <w:szCs w:val="32"/>
          <w:lang w:val="en-US" w:eastAsia="zh-CN"/>
        </w:rPr>
        <w:t>三</w:t>
      </w:r>
      <w:r>
        <w:rPr>
          <w:rFonts w:hint="eastAsia" w:ascii="仿宋" w:hAnsi="仿宋" w:eastAsia="仿宋" w:cs="仿宋"/>
          <w:b/>
          <w:bCs/>
          <w:kern w:val="0"/>
          <w:sz w:val="32"/>
          <w:szCs w:val="32"/>
        </w:rPr>
        <w:t>）对个人和家庭的补助</w:t>
      </w:r>
      <w:r>
        <w:rPr>
          <w:rFonts w:hint="eastAsia" w:ascii="仿宋" w:hAnsi="仿宋" w:eastAsia="仿宋" w:cs="仿宋"/>
          <w:b/>
          <w:bCs/>
          <w:kern w:val="0"/>
          <w:sz w:val="32"/>
          <w:szCs w:val="32"/>
          <w:lang w:val="en-US" w:eastAsia="zh-CN"/>
        </w:rPr>
        <w:t>支出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126.45</w:t>
      </w:r>
      <w:r>
        <w:rPr>
          <w:rFonts w:hint="eastAsia" w:ascii="仿宋" w:hAnsi="仿宋" w:eastAsia="仿宋" w:cs="仿宋"/>
          <w:b/>
          <w:bCs/>
          <w:kern w:val="0"/>
          <w:sz w:val="32"/>
          <w:szCs w:val="32"/>
        </w:rPr>
        <w:t>万元</w:t>
      </w:r>
      <w:r>
        <w:rPr>
          <w:rFonts w:hint="eastAsia" w:ascii="仿宋" w:hAnsi="仿宋" w:eastAsia="仿宋" w:cs="仿宋"/>
          <w:kern w:val="0"/>
          <w:sz w:val="32"/>
          <w:szCs w:val="32"/>
        </w:rPr>
        <w:t>。主要包括：抚恤金</w:t>
      </w:r>
      <w:r>
        <w:rPr>
          <w:rFonts w:hint="eastAsia" w:ascii="仿宋" w:hAnsi="仿宋" w:eastAsia="仿宋" w:cs="仿宋"/>
          <w:kern w:val="0"/>
          <w:sz w:val="32"/>
          <w:szCs w:val="32"/>
          <w:lang w:val="en-US" w:eastAsia="zh-CN"/>
        </w:rPr>
        <w:t>10.24万元、</w:t>
      </w:r>
      <w:r>
        <w:rPr>
          <w:rFonts w:hint="eastAsia" w:ascii="仿宋" w:hAnsi="仿宋" w:eastAsia="仿宋" w:cs="仿宋"/>
          <w:kern w:val="0"/>
          <w:sz w:val="32"/>
          <w:szCs w:val="32"/>
        </w:rPr>
        <w:t>其他对个人和家庭的补助</w:t>
      </w:r>
      <w:r>
        <w:rPr>
          <w:rFonts w:hint="eastAsia" w:ascii="仿宋" w:hAnsi="仿宋" w:eastAsia="仿宋" w:cs="仿宋"/>
          <w:kern w:val="0"/>
          <w:sz w:val="32"/>
          <w:szCs w:val="32"/>
          <w:lang w:val="en-US" w:eastAsia="zh-CN"/>
        </w:rPr>
        <w:t>116.21万元。</w:t>
      </w:r>
    </w:p>
    <w:p w14:paraId="178F3433">
      <w:pPr>
        <w:widowControl/>
        <w:spacing w:before="240" w:after="240"/>
        <w:ind w:firstLine="499"/>
        <w:rPr>
          <w:rFonts w:hint="default" w:ascii="仿宋" w:hAnsi="仿宋" w:eastAsia="仿宋" w:cs="仿宋"/>
          <w:kern w:val="0"/>
          <w:sz w:val="32"/>
          <w:szCs w:val="32"/>
          <w:lang w:val="en-US" w:eastAsia="zh-CN"/>
        </w:rPr>
      </w:pPr>
      <w:r>
        <w:rPr>
          <w:rFonts w:hint="eastAsia" w:ascii="仿宋" w:hAnsi="仿宋" w:eastAsia="仿宋" w:cs="仿宋"/>
          <w:b/>
          <w:bCs/>
          <w:kern w:val="0"/>
          <w:sz w:val="32"/>
          <w:szCs w:val="32"/>
        </w:rPr>
        <w:t>（</w:t>
      </w:r>
      <w:r>
        <w:rPr>
          <w:rFonts w:hint="eastAsia" w:ascii="仿宋" w:hAnsi="仿宋" w:eastAsia="仿宋" w:cs="仿宋"/>
          <w:b/>
          <w:bCs/>
          <w:kern w:val="0"/>
          <w:sz w:val="32"/>
          <w:szCs w:val="32"/>
          <w:lang w:val="en-US" w:eastAsia="zh-CN"/>
        </w:rPr>
        <w:t>四</w:t>
      </w:r>
      <w:r>
        <w:rPr>
          <w:rFonts w:hint="eastAsia" w:ascii="仿宋" w:hAnsi="仿宋" w:eastAsia="仿宋" w:cs="仿宋"/>
          <w:b/>
          <w:bCs/>
          <w:kern w:val="0"/>
          <w:sz w:val="32"/>
          <w:szCs w:val="32"/>
        </w:rPr>
        <w:t>）资本性支</w:t>
      </w:r>
      <w:r>
        <w:rPr>
          <w:rFonts w:hint="eastAsia" w:ascii="仿宋" w:hAnsi="仿宋" w:eastAsia="仿宋" w:cs="仿宋"/>
          <w:b/>
          <w:bCs/>
          <w:kern w:val="0"/>
          <w:sz w:val="32"/>
          <w:szCs w:val="32"/>
          <w:lang w:val="en-US" w:eastAsia="zh-CN"/>
        </w:rPr>
        <w:t>出</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1257.44</w:t>
      </w:r>
      <w:r>
        <w:rPr>
          <w:rFonts w:hint="eastAsia" w:ascii="仿宋" w:hAnsi="仿宋" w:eastAsia="仿宋" w:cs="仿宋"/>
          <w:b/>
          <w:bCs/>
          <w:kern w:val="0"/>
          <w:sz w:val="32"/>
          <w:szCs w:val="32"/>
        </w:rPr>
        <w:t>万元</w:t>
      </w:r>
      <w:r>
        <w:rPr>
          <w:rFonts w:hint="eastAsia" w:ascii="仿宋" w:hAnsi="仿宋" w:eastAsia="仿宋" w:cs="仿宋"/>
          <w:kern w:val="0"/>
          <w:sz w:val="32"/>
          <w:szCs w:val="32"/>
        </w:rPr>
        <w:t>。主要包括</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专用设备购置1257.44万元。</w:t>
      </w:r>
    </w:p>
    <w:p w14:paraId="7D840DB2">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14:paraId="7F1D873A">
      <w:pPr>
        <w:widowControl/>
        <w:spacing w:before="240" w:after="240"/>
        <w:jc w:val="left"/>
        <w:rPr>
          <w:rFonts w:hint="eastAsia" w:ascii="仿宋" w:hAnsi="仿宋" w:eastAsia="仿宋" w:cs="仿宋"/>
          <w:kern w:val="0"/>
          <w:sz w:val="32"/>
          <w:szCs w:val="32"/>
        </w:rPr>
      </w:pPr>
      <w:r>
        <w:rPr>
          <w:rFonts w:ascii="kai_ti_gb2312" w:hAnsi="kai_ti_gb2312" w:eastAsia="kai_ti_gb2312" w:cs="kai_ti_gb2312"/>
          <w:b/>
          <w:bCs/>
          <w:kern w:val="0"/>
          <w:sz w:val="27"/>
          <w:szCs w:val="27"/>
        </w:rPr>
        <w:t xml:space="preserve">    </w:t>
      </w:r>
      <w:r>
        <w:rPr>
          <w:rFonts w:hint="eastAsia" w:ascii="仿宋" w:hAnsi="仿宋" w:eastAsia="仿宋" w:cs="仿宋"/>
          <w:b/>
          <w:bCs/>
          <w:kern w:val="0"/>
          <w:sz w:val="32"/>
          <w:szCs w:val="32"/>
        </w:rPr>
        <w:t>（一）财政拨款“三公”经费支出总体情况说明。</w:t>
      </w:r>
    </w:p>
    <w:p w14:paraId="503E7B1D">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年度财政拨款“三公”经费全年预算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0.00</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%。其中：因公出国（境）费全年预算</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%；公务用车购置及运行维护费全年预算</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%；公务接待费全年预算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0.00</w:t>
      </w:r>
      <w:r>
        <w:rPr>
          <w:rFonts w:hint="eastAsia" w:ascii="仿宋" w:hAnsi="仿宋" w:eastAsia="仿宋" w:cs="仿宋"/>
          <w:kern w:val="0"/>
          <w:sz w:val="32"/>
          <w:szCs w:val="32"/>
        </w:rPr>
        <w:t>万元，支出决算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u w:val="single"/>
        </w:rPr>
        <w:t>0</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年度一般公共预算财政拨款“三公”经费支出决算与预算差异原因</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无差异</w:t>
      </w:r>
      <w:r>
        <w:rPr>
          <w:rFonts w:hint="eastAsia" w:ascii="仿宋" w:hAnsi="仿宋" w:eastAsia="仿宋" w:cs="仿宋"/>
          <w:kern w:val="0"/>
          <w:sz w:val="32"/>
          <w:szCs w:val="32"/>
        </w:rPr>
        <w:t>。</w:t>
      </w:r>
    </w:p>
    <w:p w14:paraId="752CD03F">
      <w:pPr>
        <w:widowControl/>
        <w:spacing w:before="240" w:after="240"/>
        <w:jc w:val="left"/>
        <w:rPr>
          <w:rFonts w:hint="eastAsia" w:ascii="仿宋" w:hAnsi="仿宋" w:eastAsia="仿宋" w:cs="仿宋"/>
          <w:kern w:val="0"/>
          <w:sz w:val="32"/>
          <w:szCs w:val="32"/>
        </w:rPr>
      </w:pPr>
      <w:r>
        <w:rPr>
          <w:rFonts w:hint="eastAsia" w:ascii="仿宋" w:hAnsi="仿宋" w:eastAsia="仿宋" w:cs="仿宋"/>
          <w:b/>
          <w:bCs/>
          <w:kern w:val="0"/>
          <w:sz w:val="32"/>
          <w:szCs w:val="32"/>
        </w:rPr>
        <w:t>    （二）财政拨款“三公”经费支出具体情况说明。</w:t>
      </w:r>
    </w:p>
    <w:p w14:paraId="29676C9D">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年度财政拨款“三公”经费支出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万元。因公出国（境）费支出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%；公务用车购置及运行维护费支出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%；公务接待费支出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%。其中：</w:t>
      </w:r>
    </w:p>
    <w:p w14:paraId="5368469C">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1.因公出国（境）费支出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万元，全年出国（境）团组</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个，累计</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人次。与上年决算相比，增加（减少）</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万元，增长（减少）</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无变动</w:t>
      </w:r>
      <w:r>
        <w:rPr>
          <w:rFonts w:hint="eastAsia" w:ascii="仿宋" w:hAnsi="仿宋" w:eastAsia="仿宋" w:cs="仿宋"/>
          <w:kern w:val="0"/>
          <w:sz w:val="32"/>
          <w:szCs w:val="32"/>
        </w:rPr>
        <w:t>。</w:t>
      </w:r>
    </w:p>
    <w:p w14:paraId="5C9998F9">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2.公务用车购置及运行维护费支出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万元。其中：</w:t>
      </w:r>
    </w:p>
    <w:p w14:paraId="609AAD38">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（1）公务用车购置支出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万元。本年度使用财政拨款购置公务用车</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辆，开支内容：</w:t>
      </w:r>
      <w:r>
        <w:rPr>
          <w:rFonts w:hint="eastAsia" w:ascii="仿宋" w:hAnsi="仿宋" w:eastAsia="仿宋" w:cs="仿宋"/>
          <w:kern w:val="0"/>
          <w:sz w:val="32"/>
          <w:szCs w:val="32"/>
          <w:lang w:eastAsia="zh-CN"/>
        </w:rPr>
        <w:t>我</w:t>
      </w:r>
      <w:r>
        <w:rPr>
          <w:rFonts w:hint="eastAsia" w:ascii="仿宋" w:hAnsi="仿宋" w:eastAsia="仿宋" w:cs="仿宋"/>
          <w:kern w:val="0"/>
          <w:sz w:val="32"/>
          <w:szCs w:val="32"/>
          <w:lang w:val="en-US" w:eastAsia="zh-CN"/>
        </w:rPr>
        <w:t>单位无公务用车购置支出</w:t>
      </w:r>
      <w:r>
        <w:rPr>
          <w:rFonts w:hint="eastAsia" w:ascii="仿宋" w:hAnsi="仿宋" w:eastAsia="仿宋" w:cs="仿宋"/>
          <w:kern w:val="0"/>
          <w:sz w:val="32"/>
          <w:szCs w:val="32"/>
        </w:rPr>
        <w:t>。与上年决算相比，增加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无变动</w:t>
      </w:r>
      <w:r>
        <w:rPr>
          <w:rFonts w:hint="eastAsia" w:ascii="仿宋" w:hAnsi="仿宋" w:eastAsia="仿宋" w:cs="仿宋"/>
          <w:kern w:val="0"/>
          <w:sz w:val="32"/>
          <w:szCs w:val="32"/>
        </w:rPr>
        <w:t>。</w:t>
      </w:r>
    </w:p>
    <w:p w14:paraId="311AFA6F">
      <w:pPr>
        <w:widowControl/>
        <w:spacing w:before="240" w:after="240"/>
        <w:rPr>
          <w:rFonts w:hint="eastAsia" w:ascii="仿宋" w:hAnsi="仿宋" w:eastAsia="仿宋" w:cs="仿宋"/>
          <w:kern w:val="0"/>
          <w:sz w:val="32"/>
          <w:szCs w:val="32"/>
        </w:rPr>
      </w:pPr>
      <w:r>
        <w:rPr>
          <w:rFonts w:hint="eastAsia" w:ascii="仿宋" w:hAnsi="仿宋" w:eastAsia="仿宋" w:cs="仿宋"/>
          <w:kern w:val="0"/>
          <w:sz w:val="32"/>
          <w:szCs w:val="32"/>
        </w:rPr>
        <w:t>    （2）公务用车运行维护费支出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万元。公务用车运行维护费主要用于按规定保留的公务用车的燃料费、维修费、过桥过路费、保险费、安全奖励费用等支出。截至202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年12月31日，使用财政拨款开支的公务用车保有量为</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辆。与上年决算相比，增加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无变动</w:t>
      </w:r>
      <w:r>
        <w:rPr>
          <w:rFonts w:hint="eastAsia" w:ascii="仿宋" w:hAnsi="仿宋" w:eastAsia="仿宋" w:cs="仿宋"/>
          <w:kern w:val="0"/>
          <w:sz w:val="32"/>
          <w:szCs w:val="32"/>
        </w:rPr>
        <w:t>。</w:t>
      </w:r>
    </w:p>
    <w:p w14:paraId="2FB47AAB">
      <w:pPr>
        <w:widowControl/>
        <w:spacing w:before="240" w:after="240"/>
        <w:rPr>
          <w:rFonts w:ascii="Times New Roman" w:hAnsi="Times New Roman" w:eastAsia="Times New Roman" w:cs="Times New Roman"/>
          <w:kern w:val="0"/>
          <w:sz w:val="24"/>
        </w:rPr>
      </w:pPr>
      <w:r>
        <w:rPr>
          <w:rFonts w:hint="eastAsia" w:ascii="仿宋" w:hAnsi="仿宋" w:eastAsia="仿宋" w:cs="仿宋"/>
          <w:kern w:val="0"/>
          <w:sz w:val="32"/>
          <w:szCs w:val="32"/>
        </w:rPr>
        <w:t>    3.公务接待费支出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万元。其中：国内公务接待支出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万元，接待</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批次，</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人次，开支内容：</w:t>
      </w:r>
      <w:r>
        <w:rPr>
          <w:rFonts w:hint="eastAsia" w:ascii="仿宋" w:hAnsi="仿宋" w:eastAsia="仿宋" w:cs="仿宋"/>
          <w:kern w:val="0"/>
          <w:sz w:val="32"/>
          <w:szCs w:val="32"/>
          <w:lang w:eastAsia="zh-CN"/>
        </w:rPr>
        <w:t>我</w:t>
      </w:r>
      <w:r>
        <w:rPr>
          <w:rFonts w:hint="eastAsia" w:ascii="仿宋" w:hAnsi="仿宋" w:eastAsia="仿宋" w:cs="仿宋"/>
          <w:kern w:val="0"/>
          <w:sz w:val="32"/>
          <w:szCs w:val="32"/>
          <w:lang w:val="en-US" w:eastAsia="zh-CN"/>
        </w:rPr>
        <w:t>单位无公务接待费用支出</w:t>
      </w:r>
      <w:r>
        <w:rPr>
          <w:rFonts w:hint="eastAsia" w:ascii="仿宋" w:hAnsi="仿宋" w:eastAsia="仿宋" w:cs="仿宋"/>
          <w:kern w:val="0"/>
          <w:sz w:val="32"/>
          <w:szCs w:val="32"/>
        </w:rPr>
        <w:t>；国（境）外公务接待支出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万元，接待</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批次，</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人次，开支内容：</w:t>
      </w:r>
      <w:r>
        <w:rPr>
          <w:rFonts w:hint="eastAsia" w:ascii="仿宋" w:hAnsi="仿宋" w:eastAsia="仿宋" w:cs="仿宋"/>
          <w:kern w:val="0"/>
          <w:sz w:val="32"/>
          <w:szCs w:val="32"/>
          <w:lang w:eastAsia="zh-CN"/>
        </w:rPr>
        <w:t>我</w:t>
      </w:r>
      <w:r>
        <w:rPr>
          <w:rFonts w:hint="eastAsia" w:ascii="仿宋" w:hAnsi="仿宋" w:eastAsia="仿宋" w:cs="仿宋"/>
          <w:kern w:val="0"/>
          <w:sz w:val="32"/>
          <w:szCs w:val="32"/>
          <w:lang w:val="en-US" w:eastAsia="zh-CN"/>
        </w:rPr>
        <w:t>单位无公务接待费支出</w:t>
      </w:r>
      <w:r>
        <w:rPr>
          <w:rFonts w:hint="eastAsia" w:ascii="仿宋" w:hAnsi="仿宋" w:eastAsia="仿宋" w:cs="仿宋"/>
          <w:kern w:val="0"/>
          <w:sz w:val="32"/>
          <w:szCs w:val="32"/>
        </w:rPr>
        <w:t>。与上年决算相比，增加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无变动</w:t>
      </w:r>
      <w:r>
        <w:rPr>
          <w:rFonts w:hint="eastAsia" w:ascii="仿宋" w:hAnsi="仿宋" w:eastAsia="仿宋" w:cs="仿宋"/>
          <w:kern w:val="0"/>
          <w:sz w:val="32"/>
          <w:szCs w:val="32"/>
        </w:rPr>
        <w:t>。</w:t>
      </w:r>
    </w:p>
    <w:p w14:paraId="76A9CE0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14:paraId="3F1BFB67">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年度政府性基金预算财政拨款支出决算</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%，变动原因：本单位无政府性基金预算财政拨款收、支、余。</w:t>
      </w:r>
    </w:p>
    <w:p w14:paraId="68574A5B">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14:paraId="6446E5A5">
      <w:pPr>
        <w:widowControl/>
        <w:spacing w:before="240" w:after="240"/>
        <w:ind w:firstLine="488"/>
        <w:rPr>
          <w:rFonts w:hint="eastAsia" w:ascii="仿宋" w:hAnsi="仿宋" w:eastAsia="仿宋" w:cs="仿宋"/>
          <w:kern w:val="0"/>
          <w:sz w:val="32"/>
          <w:szCs w:val="32"/>
        </w:rPr>
      </w:pPr>
      <w:r>
        <w:rPr>
          <w:rFonts w:hint="eastAsia" w:ascii="仿宋" w:hAnsi="仿宋" w:eastAsia="仿宋" w:cs="仿宋"/>
          <w:kern w:val="0"/>
          <w:sz w:val="32"/>
          <w:szCs w:val="32"/>
        </w:rPr>
        <w:t>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年度国有资本经营预算财政拨款支出决算</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万元。与上年决算相比，增加</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0.00 </w:t>
      </w:r>
      <w:r>
        <w:rPr>
          <w:rFonts w:hint="eastAsia" w:ascii="仿宋" w:hAnsi="仿宋" w:eastAsia="仿宋" w:cs="仿宋"/>
          <w:kern w:val="0"/>
          <w:sz w:val="32"/>
          <w:szCs w:val="32"/>
        </w:rPr>
        <w:t>%，变动原因：本单位无国有资本经营预算财政拨款收、支、余。</w:t>
      </w:r>
    </w:p>
    <w:p w14:paraId="0BAAB6AE">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十一、机构运行经费支出决算情况说明</w:t>
      </w:r>
    </w:p>
    <w:p w14:paraId="448DA673">
      <w:pPr>
        <w:widowControl/>
        <w:spacing w:before="240" w:after="240"/>
        <w:ind w:firstLine="497"/>
        <w:rPr>
          <w:rFonts w:ascii="Times New Roman" w:hAnsi="Times New Roman" w:eastAsia="Times New Roman" w:cs="Times New Roman"/>
          <w:kern w:val="0"/>
          <w:sz w:val="24"/>
        </w:rPr>
      </w:pPr>
      <w:r>
        <w:rPr>
          <w:rFonts w:hint="eastAsia" w:ascii="仿宋" w:hAnsi="仿宋" w:eastAsia="仿宋" w:cs="仿宋"/>
          <w:kern w:val="0"/>
          <w:sz w:val="32"/>
          <w:szCs w:val="32"/>
        </w:rPr>
        <w:t>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年度机构运行经费支出决算</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416.53</w:t>
      </w:r>
      <w:r>
        <w:rPr>
          <w:rFonts w:hint="eastAsia" w:ascii="仿宋" w:hAnsi="仿宋" w:eastAsia="仿宋" w:cs="仿宋"/>
          <w:kern w:val="0"/>
          <w:sz w:val="32"/>
          <w:szCs w:val="32"/>
        </w:rPr>
        <w:t>万元。比上年决算相比，增加</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298.36</w:t>
      </w:r>
      <w:r>
        <w:rPr>
          <w:rFonts w:hint="eastAsia" w:ascii="仿宋" w:hAnsi="仿宋" w:eastAsia="仿宋" w:cs="仿宋"/>
          <w:kern w:val="0"/>
          <w:sz w:val="32"/>
          <w:szCs w:val="32"/>
        </w:rPr>
        <w:t>万元，增长</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252.48</w:t>
      </w:r>
      <w:r>
        <w:rPr>
          <w:rFonts w:hint="eastAsia" w:ascii="仿宋" w:hAnsi="仿宋" w:eastAsia="仿宋" w:cs="仿宋"/>
          <w:kern w:val="0"/>
          <w:sz w:val="32"/>
          <w:szCs w:val="32"/>
        </w:rPr>
        <w:t>%，变动原因：</w:t>
      </w:r>
      <w:r>
        <w:rPr>
          <w:rFonts w:hint="eastAsia" w:ascii="仿宋" w:hAnsi="仿宋" w:eastAsia="仿宋" w:cs="仿宋"/>
          <w:kern w:val="0"/>
          <w:sz w:val="32"/>
          <w:szCs w:val="32"/>
          <w:lang w:val="en-US" w:eastAsia="zh-CN"/>
        </w:rPr>
        <w:t>2024年度公用经费新增物业管理费、其他交通费栏目，导致公用经费增加。</w:t>
      </w:r>
      <w:r>
        <w:rPr>
          <w:rFonts w:ascii="fang_song_gb2312" w:hAnsi="fang_song_gb2312" w:eastAsia="fang_song_gb2312" w:cs="fang_song_gb2312"/>
          <w:color w:val="0E00FE"/>
          <w:kern w:val="0"/>
          <w:sz w:val="27"/>
          <w:szCs w:val="27"/>
        </w:rPr>
        <w:t xml:space="preserve">  </w:t>
      </w:r>
    </w:p>
    <w:p w14:paraId="2CE0667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14:paraId="4EE4DDF6">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年度政府采购支出总额</w:t>
      </w:r>
      <w:r>
        <w:rPr>
          <w:rFonts w:hint="eastAsia" w:ascii="仿宋" w:hAnsi="仿宋" w:eastAsia="仿宋" w:cs="仿宋"/>
          <w:kern w:val="0"/>
          <w:sz w:val="32"/>
          <w:szCs w:val="32"/>
          <w:u w:val="single"/>
        </w:rPr>
        <w:t xml:space="preserve"> 531.4</w:t>
      </w:r>
      <w:r>
        <w:rPr>
          <w:rFonts w:hint="eastAsia" w:ascii="仿宋" w:hAnsi="仿宋" w:eastAsia="仿宋" w:cs="仿宋"/>
          <w:kern w:val="0"/>
          <w:sz w:val="32"/>
          <w:szCs w:val="32"/>
        </w:rPr>
        <w:t>万元，其中：政府采购货物支出</w:t>
      </w:r>
      <w:r>
        <w:rPr>
          <w:rFonts w:hint="eastAsia" w:ascii="仿宋" w:hAnsi="仿宋" w:eastAsia="仿宋" w:cs="仿宋"/>
          <w:kern w:val="0"/>
          <w:sz w:val="32"/>
          <w:szCs w:val="32"/>
          <w:u w:val="single"/>
        </w:rPr>
        <w:t xml:space="preserve"> 440.79</w:t>
      </w:r>
      <w:r>
        <w:rPr>
          <w:rFonts w:hint="eastAsia" w:ascii="仿宋" w:hAnsi="仿宋" w:eastAsia="仿宋" w:cs="仿宋"/>
          <w:kern w:val="0"/>
          <w:sz w:val="32"/>
          <w:szCs w:val="32"/>
        </w:rPr>
        <w:t>万元、政府采购工程支出</w:t>
      </w:r>
      <w:r>
        <w:rPr>
          <w:rFonts w:hint="eastAsia" w:ascii="仿宋" w:hAnsi="仿宋" w:eastAsia="仿宋" w:cs="仿宋"/>
          <w:kern w:val="0"/>
          <w:sz w:val="32"/>
          <w:szCs w:val="32"/>
          <w:u w:val="single"/>
        </w:rPr>
        <w:t xml:space="preserve"> 0.00</w:t>
      </w:r>
      <w:r>
        <w:rPr>
          <w:rFonts w:hint="eastAsia" w:ascii="仿宋" w:hAnsi="仿宋" w:eastAsia="仿宋" w:cs="仿宋"/>
          <w:kern w:val="0"/>
          <w:sz w:val="32"/>
          <w:szCs w:val="32"/>
        </w:rPr>
        <w:t>万元、政府采购服务支出</w:t>
      </w:r>
      <w:r>
        <w:rPr>
          <w:rFonts w:hint="eastAsia" w:ascii="仿宋" w:hAnsi="仿宋" w:eastAsia="仿宋" w:cs="仿宋"/>
          <w:kern w:val="0"/>
          <w:sz w:val="32"/>
          <w:szCs w:val="32"/>
          <w:u w:val="single"/>
        </w:rPr>
        <w:t xml:space="preserve"> 90.61</w:t>
      </w:r>
      <w:r>
        <w:rPr>
          <w:rFonts w:hint="eastAsia" w:ascii="仿宋" w:hAnsi="仿宋" w:eastAsia="仿宋" w:cs="仿宋"/>
          <w:kern w:val="0"/>
          <w:sz w:val="32"/>
          <w:szCs w:val="32"/>
        </w:rPr>
        <w:t>万元。政府采购授予中小企业合同金额</w:t>
      </w:r>
      <w:r>
        <w:rPr>
          <w:rFonts w:hint="eastAsia" w:ascii="仿宋" w:hAnsi="仿宋" w:eastAsia="仿宋" w:cs="仿宋"/>
          <w:kern w:val="0"/>
          <w:sz w:val="32"/>
          <w:szCs w:val="32"/>
          <w:u w:val="single"/>
        </w:rPr>
        <w:t xml:space="preserve"> 526.26</w:t>
      </w:r>
      <w:r>
        <w:rPr>
          <w:rFonts w:hint="eastAsia" w:ascii="仿宋" w:hAnsi="仿宋" w:eastAsia="仿宋" w:cs="仿宋"/>
          <w:kern w:val="0"/>
          <w:sz w:val="32"/>
          <w:szCs w:val="32"/>
        </w:rPr>
        <w:t>万元，占政府采购支出总额的</w:t>
      </w:r>
      <w:r>
        <w:rPr>
          <w:rFonts w:hint="eastAsia" w:ascii="仿宋" w:hAnsi="仿宋" w:eastAsia="仿宋" w:cs="仿宋"/>
          <w:kern w:val="0"/>
          <w:sz w:val="32"/>
          <w:szCs w:val="32"/>
          <w:u w:val="single"/>
          <w:lang w:val="en-US" w:eastAsia="zh-CN"/>
        </w:rPr>
        <w:t>99.03</w:t>
      </w:r>
      <w:r>
        <w:rPr>
          <w:rFonts w:hint="eastAsia" w:ascii="仿宋" w:hAnsi="仿宋" w:eastAsia="仿宋" w:cs="仿宋"/>
          <w:kern w:val="0"/>
          <w:sz w:val="32"/>
          <w:szCs w:val="32"/>
        </w:rPr>
        <w:t>%，其中：授予小微企业合同金额</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526.26</w:t>
      </w:r>
      <w:r>
        <w:rPr>
          <w:rFonts w:hint="eastAsia" w:ascii="仿宋" w:hAnsi="仿宋" w:eastAsia="仿宋" w:cs="仿宋"/>
          <w:kern w:val="0"/>
          <w:sz w:val="32"/>
          <w:szCs w:val="32"/>
        </w:rPr>
        <w:t>万元，占政府采购支出总额的</w:t>
      </w:r>
      <w:r>
        <w:rPr>
          <w:rFonts w:hint="eastAsia" w:ascii="仿宋" w:hAnsi="仿宋" w:eastAsia="仿宋" w:cs="仿宋"/>
          <w:kern w:val="0"/>
          <w:sz w:val="32"/>
          <w:szCs w:val="32"/>
          <w:u w:val="single"/>
          <w:lang w:val="en-US" w:eastAsia="zh-CN"/>
        </w:rPr>
        <w:t>99.03</w:t>
      </w:r>
      <w:r>
        <w:rPr>
          <w:rFonts w:hint="eastAsia" w:ascii="仿宋" w:hAnsi="仿宋" w:eastAsia="仿宋" w:cs="仿宋"/>
          <w:kern w:val="0"/>
          <w:sz w:val="32"/>
          <w:szCs w:val="32"/>
        </w:rPr>
        <w:t>%；货物采购授予中小企业合同金额占货物支出金额的</w:t>
      </w:r>
      <w:r>
        <w:rPr>
          <w:rFonts w:hint="eastAsia" w:ascii="仿宋" w:hAnsi="仿宋" w:eastAsia="仿宋" w:cs="仿宋"/>
          <w:kern w:val="0"/>
          <w:sz w:val="32"/>
          <w:szCs w:val="32"/>
          <w:u w:val="single"/>
          <w:lang w:val="en-US" w:eastAsia="zh-CN"/>
        </w:rPr>
        <w:t>82.95</w:t>
      </w:r>
      <w:r>
        <w:rPr>
          <w:rFonts w:hint="eastAsia" w:ascii="仿宋" w:hAnsi="仿宋" w:eastAsia="仿宋" w:cs="仿宋"/>
          <w:kern w:val="0"/>
          <w:sz w:val="32"/>
          <w:szCs w:val="32"/>
        </w:rPr>
        <w:t>%，工程采购授予中小企业合同金额占工程支出金额的</w:t>
      </w:r>
      <w:r>
        <w:rPr>
          <w:rFonts w:hint="eastAsia" w:ascii="仿宋" w:hAnsi="仿宋" w:eastAsia="仿宋" w:cs="仿宋"/>
          <w:kern w:val="0"/>
          <w:sz w:val="32"/>
          <w:szCs w:val="32"/>
          <w:u w:val="single"/>
          <w:lang w:val="en-US" w:eastAsia="zh-CN"/>
        </w:rPr>
        <w:t>0.00</w:t>
      </w:r>
      <w:r>
        <w:rPr>
          <w:rFonts w:hint="eastAsia" w:ascii="仿宋" w:hAnsi="仿宋" w:eastAsia="仿宋" w:cs="仿宋"/>
          <w:kern w:val="0"/>
          <w:sz w:val="32"/>
          <w:szCs w:val="32"/>
        </w:rPr>
        <w:t>%，服务采购授予中小企业合同金额占服务支出金额的</w:t>
      </w:r>
      <w:r>
        <w:rPr>
          <w:rFonts w:hint="eastAsia" w:ascii="仿宋" w:hAnsi="仿宋" w:eastAsia="仿宋" w:cs="仿宋"/>
          <w:kern w:val="0"/>
          <w:sz w:val="32"/>
          <w:szCs w:val="32"/>
          <w:u w:val="single"/>
          <w:lang w:val="en-US" w:eastAsia="zh-CN"/>
        </w:rPr>
        <w:t>0.00</w:t>
      </w:r>
      <w:r>
        <w:rPr>
          <w:rFonts w:hint="eastAsia" w:ascii="仿宋" w:hAnsi="仿宋" w:eastAsia="仿宋" w:cs="仿宋"/>
          <w:kern w:val="0"/>
          <w:sz w:val="32"/>
          <w:szCs w:val="32"/>
        </w:rPr>
        <w:t>%。</w:t>
      </w:r>
    </w:p>
    <w:p w14:paraId="6837B96B">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14:paraId="784CCE87">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截至202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年12月31日，本单位共有车辆</w:t>
      </w:r>
      <w:r>
        <w:rPr>
          <w:rFonts w:hint="eastAsia" w:ascii="仿宋" w:hAnsi="仿宋" w:eastAsia="仿宋" w:cs="仿宋"/>
          <w:kern w:val="0"/>
          <w:sz w:val="32"/>
          <w:szCs w:val="32"/>
          <w:u w:val="single"/>
        </w:rPr>
        <w:t xml:space="preserve"> 4</w:t>
      </w:r>
      <w:r>
        <w:rPr>
          <w:rFonts w:hint="eastAsia" w:ascii="仿宋" w:hAnsi="仿宋" w:eastAsia="仿宋" w:cs="仿宋"/>
          <w:kern w:val="0"/>
          <w:sz w:val="32"/>
          <w:szCs w:val="32"/>
        </w:rPr>
        <w:t>辆，其中：副部（省）级及以上领导用车</w:t>
      </w:r>
      <w:r>
        <w:rPr>
          <w:rFonts w:hint="eastAsia" w:ascii="仿宋" w:hAnsi="仿宋" w:eastAsia="仿宋" w:cs="仿宋"/>
          <w:kern w:val="0"/>
          <w:sz w:val="32"/>
          <w:szCs w:val="32"/>
          <w:u w:val="single"/>
        </w:rPr>
        <w:t xml:space="preserve">0 </w:t>
      </w:r>
      <w:r>
        <w:rPr>
          <w:rFonts w:hint="eastAsia" w:ascii="仿宋" w:hAnsi="仿宋" w:eastAsia="仿宋" w:cs="仿宋"/>
          <w:kern w:val="0"/>
          <w:sz w:val="32"/>
          <w:szCs w:val="32"/>
        </w:rPr>
        <w:t>辆、主要负责人用车</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rPr>
        <w:t>辆、机要通信用车</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rPr>
        <w:t>辆、应急保障用车</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rPr>
        <w:t>辆、执法执勤用车</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rPr>
        <w:t>辆、特种专业技术用车</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rPr>
        <w:t>辆、离退休干部服务用车</w:t>
      </w:r>
      <w:r>
        <w:rPr>
          <w:rFonts w:hint="eastAsia" w:ascii="仿宋" w:hAnsi="仿宋" w:eastAsia="仿宋" w:cs="仿宋"/>
          <w:kern w:val="0"/>
          <w:sz w:val="32"/>
          <w:szCs w:val="32"/>
          <w:u w:val="single"/>
        </w:rPr>
        <w:t xml:space="preserve"> 0</w:t>
      </w:r>
      <w:r>
        <w:rPr>
          <w:rFonts w:hint="eastAsia" w:ascii="仿宋" w:hAnsi="仿宋" w:eastAsia="仿宋" w:cs="仿宋"/>
          <w:kern w:val="0"/>
          <w:sz w:val="32"/>
          <w:szCs w:val="32"/>
        </w:rPr>
        <w:t>辆，其他用车</w:t>
      </w:r>
      <w:r>
        <w:rPr>
          <w:rFonts w:hint="eastAsia" w:ascii="仿宋" w:hAnsi="仿宋" w:eastAsia="仿宋" w:cs="仿宋"/>
          <w:kern w:val="0"/>
          <w:sz w:val="32"/>
          <w:szCs w:val="32"/>
          <w:u w:val="single"/>
        </w:rPr>
        <w:t xml:space="preserve"> 4</w:t>
      </w:r>
      <w:r>
        <w:rPr>
          <w:rFonts w:hint="eastAsia" w:ascii="仿宋" w:hAnsi="仿宋" w:eastAsia="仿宋" w:cs="仿宋"/>
          <w:kern w:val="0"/>
          <w:sz w:val="32"/>
          <w:szCs w:val="32"/>
        </w:rPr>
        <w:t>辆；单价100万元（含）以上的设备（不含车辆）</w:t>
      </w:r>
      <w:r>
        <w:rPr>
          <w:rFonts w:hint="eastAsia" w:ascii="仿宋" w:hAnsi="仿宋" w:eastAsia="仿宋" w:cs="仿宋"/>
          <w:kern w:val="0"/>
          <w:sz w:val="32"/>
          <w:szCs w:val="32"/>
          <w:u w:val="single"/>
        </w:rPr>
        <w:t xml:space="preserve"> 24</w:t>
      </w:r>
      <w:r>
        <w:rPr>
          <w:rFonts w:hint="eastAsia" w:ascii="仿宋" w:hAnsi="仿宋" w:eastAsia="仿宋" w:cs="仿宋"/>
          <w:kern w:val="0"/>
          <w:sz w:val="32"/>
          <w:szCs w:val="32"/>
        </w:rPr>
        <w:t>台（套）。</w:t>
      </w:r>
    </w:p>
    <w:p w14:paraId="1302807E">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14:paraId="2F6AA42A">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6CB46ED8">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kern w:val="0"/>
          <w:sz w:val="27"/>
          <w:szCs w:val="27"/>
        </w:rPr>
        <w:t xml:space="preserve">  </w:t>
      </w:r>
      <w:r>
        <w:rPr>
          <w:rFonts w:hint="eastAsia" w:ascii="仿宋" w:hAnsi="仿宋" w:eastAsia="仿宋" w:cs="仿宋"/>
          <w:kern w:val="0"/>
          <w:sz w:val="32"/>
          <w:szCs w:val="32"/>
        </w:rPr>
        <w:t>  内蒙古自治区鄂尔多斯市鄂托克旗第二人民医院 根据预算绩效管理要求组织对202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年一般公共预算项目支出全面开展绩效自评，其中一级项目</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rPr>
        <w:t>个，二级项目</w:t>
      </w:r>
      <w:r>
        <w:rPr>
          <w:rFonts w:hint="eastAsia" w:ascii="仿宋" w:hAnsi="仿宋" w:eastAsia="仿宋" w:cs="仿宋"/>
          <w:kern w:val="0"/>
          <w:sz w:val="32"/>
          <w:szCs w:val="32"/>
          <w:u w:val="single"/>
          <w:lang w:val="en-US" w:eastAsia="zh-CN"/>
        </w:rPr>
        <w:t>20</w:t>
      </w:r>
      <w:r>
        <w:rPr>
          <w:rFonts w:hint="eastAsia" w:ascii="仿宋" w:hAnsi="仿宋" w:eastAsia="仿宋" w:cs="仿宋"/>
          <w:kern w:val="0"/>
          <w:sz w:val="32"/>
          <w:szCs w:val="32"/>
        </w:rPr>
        <w:t>个，共涉及资金</w:t>
      </w:r>
      <w:r>
        <w:rPr>
          <w:rFonts w:hint="eastAsia" w:ascii="仿宋_GB2312" w:hAnsi="仿宋_GB2312" w:eastAsia="仿宋_GB2312" w:cs="仿宋_GB2312"/>
          <w:bCs/>
          <w:kern w:val="2"/>
          <w:sz w:val="32"/>
          <w:szCs w:val="32"/>
          <w:u w:val="single"/>
          <w:lang w:val="en-US" w:eastAsia="zh-CN" w:bidi="ar-SA"/>
        </w:rPr>
        <w:t>2534.38</w:t>
      </w:r>
      <w:r>
        <w:rPr>
          <w:rFonts w:hint="eastAsia" w:ascii="仿宋" w:hAnsi="仿宋" w:eastAsia="仿宋" w:cs="仿宋"/>
          <w:kern w:val="0"/>
          <w:sz w:val="32"/>
          <w:szCs w:val="32"/>
        </w:rPr>
        <w:t>万元，占一般公共预算项目支出总额的100%；政府性基金预算项目</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rPr>
        <w:t>个，其中，一级项目</w:t>
      </w:r>
      <w:r>
        <w:rPr>
          <w:rFonts w:hint="eastAsia" w:ascii="仿宋" w:hAnsi="仿宋" w:eastAsia="仿宋" w:cs="仿宋"/>
          <w:kern w:val="0"/>
          <w:sz w:val="32"/>
          <w:szCs w:val="32"/>
          <w:u w:val="single"/>
        </w:rPr>
        <w:t> </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u w:val="single"/>
        </w:rPr>
        <w:t>  </w:t>
      </w:r>
      <w:r>
        <w:rPr>
          <w:rFonts w:hint="eastAsia" w:ascii="仿宋" w:hAnsi="仿宋" w:eastAsia="仿宋" w:cs="仿宋"/>
          <w:kern w:val="0"/>
          <w:sz w:val="32"/>
          <w:szCs w:val="32"/>
        </w:rPr>
        <w:t>个，二级项目</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rPr>
        <w:t>个，共涉及资金</w:t>
      </w:r>
      <w:r>
        <w:rPr>
          <w:rFonts w:hint="eastAsia" w:ascii="仿宋" w:hAnsi="仿宋" w:eastAsia="仿宋" w:cs="仿宋"/>
          <w:kern w:val="0"/>
          <w:sz w:val="32"/>
          <w:szCs w:val="32"/>
          <w:u w:val="single"/>
          <w:lang w:val="en-US" w:eastAsia="zh-CN"/>
        </w:rPr>
        <w:t>0.00</w:t>
      </w:r>
      <w:r>
        <w:rPr>
          <w:rFonts w:hint="eastAsia" w:ascii="仿宋" w:hAnsi="仿宋" w:eastAsia="仿宋" w:cs="仿宋"/>
          <w:kern w:val="0"/>
          <w:sz w:val="32"/>
          <w:szCs w:val="32"/>
        </w:rPr>
        <w:t>万元，占应纳入绩效自评的政府性基金预算项目支出总额的100%。</w:t>
      </w:r>
    </w:p>
    <w:p w14:paraId="3C2AE33E">
      <w:pPr>
        <w:widowControl/>
        <w:spacing w:before="240" w:after="240"/>
        <w:rPr>
          <w:rFonts w:hint="eastAsia" w:ascii="仿宋" w:hAnsi="仿宋" w:eastAsia="仿宋" w:cs="仿宋"/>
          <w:kern w:val="0"/>
          <w:sz w:val="32"/>
          <w:szCs w:val="32"/>
          <w:lang w:eastAsia="zh-CN"/>
        </w:rPr>
      </w:pPr>
      <w:r>
        <w:rPr>
          <w:rFonts w:hint="eastAsia" w:ascii="仿宋" w:hAnsi="仿宋" w:eastAsia="仿宋" w:cs="仿宋"/>
          <w:kern w:val="0"/>
          <w:sz w:val="32"/>
          <w:szCs w:val="32"/>
        </w:rPr>
        <w:t>    本单位未对项目开展重点绩效评价。本单位无重点绩效评价项目</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本年未组织开展项目重点绩效评价</w:t>
      </w:r>
      <w:r>
        <w:rPr>
          <w:rFonts w:hint="eastAsia" w:ascii="仿宋" w:hAnsi="仿宋" w:eastAsia="仿宋" w:cs="仿宋"/>
          <w:kern w:val="0"/>
          <w:sz w:val="32"/>
          <w:szCs w:val="32"/>
          <w:lang w:eastAsia="zh-CN"/>
        </w:rPr>
        <w:t>。</w:t>
      </w:r>
    </w:p>
    <w:p w14:paraId="446A55AE">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（二）部门（单位）决算中项目绩效自评结果。</w:t>
      </w:r>
    </w:p>
    <w:p w14:paraId="6937A062">
      <w:pPr>
        <w:widowControl/>
        <w:spacing w:before="240" w:after="240"/>
        <w:rPr>
          <w:rFonts w:hint="eastAsia" w:ascii="仿宋" w:hAnsi="仿宋" w:eastAsia="仿宋" w:cs="仿宋"/>
          <w:kern w:val="0"/>
          <w:sz w:val="32"/>
          <w:szCs w:val="32"/>
        </w:rPr>
      </w:pPr>
      <w:r>
        <w:rPr>
          <w:rFonts w:ascii="fang_song_gb2312" w:hAnsi="fang_song_gb2312" w:eastAsia="fang_song_gb2312" w:cs="fang_song_gb2312"/>
          <w:kern w:val="0"/>
          <w:sz w:val="27"/>
          <w:szCs w:val="27"/>
        </w:rPr>
        <w:t>   </w:t>
      </w:r>
      <w:r>
        <w:rPr>
          <w:rFonts w:hint="eastAsia" w:ascii="仿宋" w:hAnsi="仿宋" w:eastAsia="仿宋" w:cs="仿宋"/>
          <w:kern w:val="0"/>
          <w:sz w:val="32"/>
          <w:szCs w:val="32"/>
        </w:rPr>
        <w:t xml:space="preserve"> 内蒙古自治区鄂尔多斯市鄂托克旗第二人民医院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年度在决算中反映</w:t>
      </w:r>
      <w:r>
        <w:rPr>
          <w:rFonts w:hint="eastAsia" w:ascii="仿宋" w:hAnsi="仿宋" w:eastAsia="仿宋" w:cs="仿宋"/>
          <w:kern w:val="0"/>
          <w:sz w:val="32"/>
          <w:szCs w:val="32"/>
          <w:highlight w:val="none"/>
          <w:u w:val="single"/>
          <w:lang w:val="en-US" w:eastAsia="zh-CN"/>
        </w:rPr>
        <w:t>5</w:t>
      </w:r>
      <w:r>
        <w:rPr>
          <w:rFonts w:hint="eastAsia" w:ascii="仿宋" w:hAnsi="仿宋" w:eastAsia="仿宋" w:cs="仿宋"/>
          <w:kern w:val="0"/>
          <w:sz w:val="32"/>
          <w:szCs w:val="32"/>
        </w:rPr>
        <w:t>个一般公共预算项目，以及</w:t>
      </w:r>
      <w:r>
        <w:rPr>
          <w:rFonts w:hint="eastAsia" w:ascii="仿宋" w:hAnsi="仿宋" w:eastAsia="仿宋" w:cs="仿宋"/>
          <w:kern w:val="0"/>
          <w:sz w:val="32"/>
          <w:szCs w:val="32"/>
          <w:u w:val="single"/>
          <w:lang w:val="en-US" w:eastAsia="zh-CN"/>
        </w:rPr>
        <w:t>0</w:t>
      </w:r>
      <w:r>
        <w:rPr>
          <w:rFonts w:hint="eastAsia" w:ascii="仿宋" w:hAnsi="仿宋" w:eastAsia="仿宋" w:cs="仿宋"/>
          <w:kern w:val="0"/>
          <w:sz w:val="32"/>
          <w:szCs w:val="32"/>
        </w:rPr>
        <w:t>个政府性基金项目，共</w:t>
      </w:r>
      <w:r>
        <w:rPr>
          <w:rFonts w:hint="eastAsia" w:ascii="仿宋" w:hAnsi="仿宋" w:eastAsia="仿宋" w:cs="仿宋"/>
          <w:kern w:val="0"/>
          <w:sz w:val="32"/>
          <w:szCs w:val="32"/>
          <w:highlight w:val="none"/>
          <w:u w:val="single"/>
          <w:lang w:val="en-US" w:eastAsia="zh-CN"/>
        </w:rPr>
        <w:t>5</w:t>
      </w:r>
      <w:r>
        <w:rPr>
          <w:rFonts w:hint="eastAsia" w:ascii="仿宋" w:hAnsi="仿宋" w:eastAsia="仿宋" w:cs="仿宋"/>
          <w:kern w:val="0"/>
          <w:sz w:val="32"/>
          <w:szCs w:val="32"/>
        </w:rPr>
        <w:t>个项目的绩效自评结果。</w:t>
      </w:r>
    </w:p>
    <w:p w14:paraId="46B9F462">
      <w:pPr>
        <w:widowControl/>
        <w:numPr>
          <w:ilvl w:val="0"/>
          <w:numId w:val="2"/>
        </w:numPr>
        <w:spacing w:before="240" w:after="240"/>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疫情防控应检尽检项目</w:t>
      </w:r>
      <w:r>
        <w:rPr>
          <w:rFonts w:hint="eastAsia" w:ascii="仿宋" w:hAnsi="仿宋" w:eastAsia="仿宋" w:cs="仿宋"/>
          <w:kern w:val="0"/>
          <w:sz w:val="32"/>
          <w:szCs w:val="32"/>
        </w:rPr>
        <w:t>自评综述：根据年初设定的绩效目标，项目自评得分</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分。全年预算数为</w:t>
      </w:r>
      <w:r>
        <w:rPr>
          <w:rFonts w:hint="eastAsia" w:ascii="仿宋" w:hAnsi="仿宋" w:eastAsia="仿宋" w:cs="仿宋"/>
          <w:kern w:val="0"/>
          <w:sz w:val="32"/>
          <w:szCs w:val="32"/>
          <w:u w:val="single"/>
          <w:lang w:val="en-US" w:eastAsia="zh-CN"/>
        </w:rPr>
        <w:t>1044.12</w:t>
      </w:r>
      <w:r>
        <w:rPr>
          <w:rFonts w:hint="eastAsia" w:ascii="仿宋" w:hAnsi="仿宋" w:eastAsia="仿宋" w:cs="仿宋"/>
          <w:kern w:val="0"/>
          <w:sz w:val="32"/>
          <w:szCs w:val="32"/>
        </w:rPr>
        <w:t>万元，执行数为</w:t>
      </w:r>
      <w:r>
        <w:rPr>
          <w:rFonts w:hint="eastAsia" w:ascii="仿宋" w:hAnsi="仿宋" w:eastAsia="仿宋" w:cs="仿宋"/>
          <w:kern w:val="0"/>
          <w:sz w:val="32"/>
          <w:szCs w:val="32"/>
          <w:u w:val="single"/>
          <w:lang w:val="en-US" w:eastAsia="zh-CN"/>
        </w:rPr>
        <w:t>1044.12</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%。项目绩效目标完成情况： 根据相关文件要求，我院疫情期间开展疫情防控应检尽检项目，针对全镇区居民进行几轮核算检测工作，我单位投入大量人力、无力、财力。我单位依据相关文件精神，申请疫情防控应检尽检项目专项资金用于支付项目开展所需耗材、人员等相关费用，以提高疫情防控能力。我单位根据相关文件要求，确保转款专用，合理安排财政拨付资金，确保花钱必问效，无效必问责机制，统筹结合，确保使用出资金应有价值。及时监控绩效目标产出及使用情况，确保资金用在刀刃上，及时自评项目进展情况。</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4"/>
        <w:gridCol w:w="696"/>
        <w:gridCol w:w="694"/>
        <w:gridCol w:w="846"/>
        <w:gridCol w:w="630"/>
        <w:gridCol w:w="634"/>
        <w:gridCol w:w="1567"/>
        <w:gridCol w:w="1567"/>
        <w:gridCol w:w="637"/>
        <w:gridCol w:w="631"/>
        <w:gridCol w:w="661"/>
        <w:gridCol w:w="699"/>
      </w:tblGrid>
      <w:tr w14:paraId="4028B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A2AC171">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3C9EB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10692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60E99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疫情防控应检尽检项目</w:t>
            </w:r>
          </w:p>
        </w:tc>
      </w:tr>
      <w:tr w14:paraId="18C45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F517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F7A4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鄂托克旗卫生健康委员会（部门）</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0458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C5A3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鄂托克旗第二人民医院</w:t>
            </w:r>
          </w:p>
        </w:tc>
      </w:tr>
      <w:tr w14:paraId="7FCC5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93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A39CD">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4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436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790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8D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86F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E14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6217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0452C">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9D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2F9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F49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1AC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B4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02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BC6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763D9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5D84E">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689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97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AAE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5B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1044.12 </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B5A9A">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A97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9CA5">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26F0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B61F4">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EB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3E858">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1B32">
            <w:pPr>
              <w:jc w:val="cente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3137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2007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8DB81">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7C6C">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9CA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BC132">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602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757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81C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A6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C3A2">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93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2B35">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D0B7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CC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2D9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AA1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56D69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5ADD3">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208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根据相关文件要求，我院疫情期间开展疫情防控应检尽检项目，提高疫情防控能力。</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200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根据相关文件要求，我院疫情期间开展疫情防控应检尽检项目，针对全镇区居民进行几轮核算检测工作，我单位投入大量人力、无力、财力。我单位依据相关文件精神，申请疫情防控应检尽检项目专项资金用于支付项目开展所需耗材、人员等相关费用，以提高疫情防控能力。我单位根据相关文件要求，确保转款专用，合理安排财政拨付资金，确保花钱必问效，无效必问责机制，统筹结合，确保使用出资金应有价值。及时监控绩效目标产出及使用情况，确保资金用在刀刃上，及时自评项目进展情况。</w:t>
            </w:r>
          </w:p>
        </w:tc>
      </w:tr>
      <w:tr w14:paraId="4DAEB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BCE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7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499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0B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ED4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1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A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77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E5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64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CCC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C3C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613C3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013BF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85A5E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01887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C96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核酸检测样本数量</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8752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15A8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3B51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306.13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36BB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306.13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7F6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万份</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8B7D7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6DBF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89C54EE">
            <w:pPr>
              <w:jc w:val="center"/>
              <w:rPr>
                <w:rFonts w:hint="eastAsia" w:ascii="宋体" w:hAnsi="宋体" w:eastAsia="宋体" w:cs="宋体"/>
                <w:i w:val="0"/>
                <w:iCs w:val="0"/>
                <w:color w:val="000000"/>
                <w:sz w:val="18"/>
                <w:szCs w:val="18"/>
                <w:u w:val="none"/>
              </w:rPr>
            </w:pPr>
          </w:p>
        </w:tc>
      </w:tr>
      <w:tr w14:paraId="6F244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7EE4A0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07CD6BD">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EF5F60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61AC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地区大规模核酸检测次数</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7D162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1980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095CE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E4414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022F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轮次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978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2E586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652641B">
            <w:pPr>
              <w:jc w:val="center"/>
              <w:rPr>
                <w:rFonts w:hint="eastAsia" w:ascii="宋体" w:hAnsi="宋体" w:eastAsia="宋体" w:cs="宋体"/>
                <w:i w:val="0"/>
                <w:iCs w:val="0"/>
                <w:color w:val="000000"/>
                <w:sz w:val="18"/>
                <w:szCs w:val="18"/>
                <w:u w:val="none"/>
              </w:rPr>
            </w:pPr>
          </w:p>
        </w:tc>
      </w:tr>
      <w:tr w14:paraId="25FD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B63B821">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0DE0AF7">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02FE2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F031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指标完成率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CFA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71F5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3E94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ABFC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6374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EF34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3447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F9A56AE">
            <w:pPr>
              <w:jc w:val="center"/>
              <w:rPr>
                <w:rFonts w:hint="eastAsia" w:ascii="宋体" w:hAnsi="宋体" w:eastAsia="宋体" w:cs="宋体"/>
                <w:i w:val="0"/>
                <w:iCs w:val="0"/>
                <w:color w:val="000000"/>
                <w:sz w:val="18"/>
                <w:szCs w:val="18"/>
                <w:u w:val="none"/>
              </w:rPr>
            </w:pPr>
          </w:p>
        </w:tc>
      </w:tr>
      <w:tr w14:paraId="0C826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32B896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B9B2F7E">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DFD21E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1F4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EFC8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0DB4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D6F8A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E959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E2A6C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177C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83AD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D817921">
            <w:pPr>
              <w:jc w:val="center"/>
              <w:rPr>
                <w:rFonts w:hint="eastAsia" w:ascii="宋体" w:hAnsi="宋体" w:eastAsia="宋体" w:cs="宋体"/>
                <w:i w:val="0"/>
                <w:iCs w:val="0"/>
                <w:color w:val="000000"/>
                <w:sz w:val="18"/>
                <w:szCs w:val="18"/>
                <w:u w:val="none"/>
              </w:rPr>
            </w:pPr>
          </w:p>
        </w:tc>
      </w:tr>
      <w:tr w14:paraId="2B699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FDA755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432BF60">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52EF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878E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FC51B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458A8F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30E6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2022.10-2022.12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BF708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2022.10-2022.12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9260737">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27FA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B70B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00B1F81">
            <w:pPr>
              <w:jc w:val="center"/>
              <w:rPr>
                <w:rFonts w:hint="eastAsia" w:ascii="宋体" w:hAnsi="宋体" w:eastAsia="宋体" w:cs="宋体"/>
                <w:i w:val="0"/>
                <w:iCs w:val="0"/>
                <w:color w:val="000000"/>
                <w:sz w:val="18"/>
                <w:szCs w:val="18"/>
                <w:u w:val="none"/>
              </w:rPr>
            </w:pPr>
          </w:p>
        </w:tc>
      </w:tr>
      <w:tr w14:paraId="606DE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5586C37">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3863FA6">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412ADF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7FA0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项目完成时效率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1828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782D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BE9B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9A57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89EF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C5F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DA757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0E40D11">
            <w:pPr>
              <w:jc w:val="center"/>
              <w:rPr>
                <w:rFonts w:hint="eastAsia" w:ascii="宋体" w:hAnsi="宋体" w:eastAsia="宋体" w:cs="宋体"/>
                <w:i w:val="0"/>
                <w:iCs w:val="0"/>
                <w:color w:val="000000"/>
                <w:sz w:val="18"/>
                <w:szCs w:val="18"/>
                <w:u w:val="none"/>
              </w:rPr>
            </w:pPr>
          </w:p>
        </w:tc>
      </w:tr>
      <w:tr w14:paraId="7B2C3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ACF13D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766FA93">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2F24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8EAC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应检尽检项目总金额</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5C32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74EBA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87D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8D28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7772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FF5CF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835F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48489A7">
            <w:pPr>
              <w:jc w:val="center"/>
              <w:rPr>
                <w:rFonts w:hint="eastAsia" w:ascii="宋体" w:hAnsi="宋体" w:eastAsia="宋体" w:cs="宋体"/>
                <w:i w:val="0"/>
                <w:iCs w:val="0"/>
                <w:color w:val="000000"/>
                <w:sz w:val="18"/>
                <w:szCs w:val="18"/>
                <w:u w:val="none"/>
              </w:rPr>
            </w:pPr>
          </w:p>
        </w:tc>
      </w:tr>
      <w:tr w14:paraId="6E47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923BAD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BE79D9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F66D16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F6E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应检尽检项目单份样本检测金额</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9D9E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A3F9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B3ED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C1CF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379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A34A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737BD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F5BC675">
            <w:pPr>
              <w:jc w:val="center"/>
              <w:rPr>
                <w:rFonts w:hint="eastAsia" w:ascii="宋体" w:hAnsi="宋体" w:eastAsia="宋体" w:cs="宋体"/>
                <w:i w:val="0"/>
                <w:iCs w:val="0"/>
                <w:color w:val="000000"/>
                <w:sz w:val="18"/>
                <w:szCs w:val="18"/>
                <w:u w:val="none"/>
              </w:rPr>
            </w:pPr>
          </w:p>
        </w:tc>
      </w:tr>
      <w:tr w14:paraId="0D561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602FA79">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6B151A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730C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FB9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带动地区经济发展</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0FD8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D355B2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0116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EB4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A332E4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62A2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A4EF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E77F788">
            <w:pPr>
              <w:jc w:val="center"/>
              <w:rPr>
                <w:rFonts w:hint="eastAsia" w:ascii="宋体" w:hAnsi="宋体" w:eastAsia="宋体" w:cs="宋体"/>
                <w:i w:val="0"/>
                <w:iCs w:val="0"/>
                <w:color w:val="000000"/>
                <w:sz w:val="18"/>
                <w:szCs w:val="18"/>
                <w:u w:val="none"/>
              </w:rPr>
            </w:pPr>
          </w:p>
        </w:tc>
      </w:tr>
      <w:tr w14:paraId="7AAFF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0EDD666">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E3C9C8B">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16B9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3C6A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提升本地区疫情防控能力</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967B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1A96B5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6807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D16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DADB94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CAB4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A5CD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F75BCA5">
            <w:pPr>
              <w:jc w:val="center"/>
              <w:rPr>
                <w:rFonts w:hint="eastAsia" w:ascii="宋体" w:hAnsi="宋体" w:eastAsia="宋体" w:cs="宋体"/>
                <w:i w:val="0"/>
                <w:iCs w:val="0"/>
                <w:color w:val="000000"/>
                <w:sz w:val="18"/>
                <w:szCs w:val="18"/>
                <w:u w:val="none"/>
              </w:rPr>
            </w:pPr>
          </w:p>
        </w:tc>
      </w:tr>
      <w:tr w14:paraId="39984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09C96A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2515468">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2DFE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56B8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维护地区生态平衡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E2D5D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C3B225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FA1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89D2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009F57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8530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0101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BEAC999">
            <w:pPr>
              <w:jc w:val="center"/>
              <w:rPr>
                <w:rFonts w:hint="eastAsia" w:ascii="宋体" w:hAnsi="宋体" w:eastAsia="宋体" w:cs="宋体"/>
                <w:i w:val="0"/>
                <w:iCs w:val="0"/>
                <w:color w:val="000000"/>
                <w:sz w:val="18"/>
                <w:szCs w:val="18"/>
                <w:u w:val="none"/>
              </w:rPr>
            </w:pPr>
          </w:p>
        </w:tc>
      </w:tr>
      <w:tr w14:paraId="779AB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0C0085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F7AECDE">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E6669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45168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持续为本地区居民服务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7F015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AB4FDB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E7B2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F9FA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C9EA8D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12F7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FF4D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BC3592C">
            <w:pPr>
              <w:jc w:val="center"/>
              <w:rPr>
                <w:rFonts w:hint="eastAsia" w:ascii="宋体" w:hAnsi="宋体" w:eastAsia="宋体" w:cs="宋体"/>
                <w:i w:val="0"/>
                <w:iCs w:val="0"/>
                <w:color w:val="000000"/>
                <w:sz w:val="18"/>
                <w:szCs w:val="18"/>
                <w:u w:val="none"/>
              </w:rPr>
            </w:pPr>
          </w:p>
        </w:tc>
      </w:tr>
      <w:tr w14:paraId="36E10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F5E95D7">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0FF86E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7D320D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A996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本地区居民及医务人员满意度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ABF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6BA5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9BAB4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934DE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98</w:t>
            </w:r>
            <w:r>
              <w:rPr>
                <w:rFonts w:hint="eastAsia" w:ascii="宋体" w:hAnsi="宋体" w:eastAsia="宋体" w:cs="宋体"/>
                <w:i w:val="0"/>
                <w:iCs w:val="0"/>
                <w:color w:val="000000"/>
                <w:kern w:val="0"/>
                <w:sz w:val="18"/>
                <w:szCs w:val="18"/>
                <w:u w:val="none"/>
                <w:lang w:val="en-US" w:eastAsia="zh-CN" w:bidi="ar"/>
              </w:rPr>
              <w:t>.00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6C97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1B23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94A9EB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9C346A7">
            <w:pPr>
              <w:jc w:val="center"/>
              <w:rPr>
                <w:rFonts w:hint="eastAsia" w:ascii="宋体" w:hAnsi="宋体" w:eastAsia="宋体" w:cs="宋体"/>
                <w:i w:val="0"/>
                <w:iCs w:val="0"/>
                <w:color w:val="000000"/>
                <w:sz w:val="18"/>
                <w:szCs w:val="18"/>
                <w:u w:val="none"/>
              </w:rPr>
            </w:pPr>
          </w:p>
        </w:tc>
      </w:tr>
      <w:tr w14:paraId="30AD1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2450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65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8BFCC">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16242">
            <w:pPr>
              <w:jc w:val="center"/>
              <w:rPr>
                <w:rFonts w:hint="eastAsia" w:ascii="宋体" w:hAnsi="宋体" w:eastAsia="宋体" w:cs="宋体"/>
                <w:i w:val="0"/>
                <w:iCs w:val="0"/>
                <w:color w:val="000000"/>
                <w:sz w:val="18"/>
                <w:szCs w:val="18"/>
                <w:u w:val="none"/>
              </w:rPr>
            </w:pPr>
          </w:p>
        </w:tc>
      </w:tr>
    </w:tbl>
    <w:p w14:paraId="08DDF7B1">
      <w:pPr>
        <w:widowControl/>
        <w:numPr>
          <w:ilvl w:val="0"/>
          <w:numId w:val="2"/>
        </w:numPr>
        <w:spacing w:before="240" w:after="240"/>
        <w:ind w:left="0" w:leftChars="0" w:firstLine="640" w:firstLineChars="200"/>
        <w:rPr>
          <w:rFonts w:hint="eastAsia" w:ascii="仿宋" w:hAnsi="仿宋" w:eastAsia="仿宋" w:cs="仿宋"/>
          <w:kern w:val="0"/>
          <w:sz w:val="32"/>
          <w:szCs w:val="32"/>
        </w:rPr>
      </w:pPr>
      <w:r>
        <w:rPr>
          <w:rFonts w:hint="eastAsia" w:ascii="仿宋_GB2312" w:hAnsi="仿宋_GB2312" w:eastAsia="仿宋_GB2312" w:cs="仿宋_GB2312"/>
          <w:bCs/>
          <w:kern w:val="2"/>
          <w:sz w:val="32"/>
          <w:szCs w:val="32"/>
          <w:lang w:val="en-US" w:eastAsia="zh-CN" w:bidi="ar-SA"/>
        </w:rPr>
        <w:t>内蒙古自治区鄂尔多斯市鄂托克旗公立医院医疗设备设施采购项目</w:t>
      </w:r>
      <w:r>
        <w:rPr>
          <w:rFonts w:hint="eastAsia" w:ascii="仿宋" w:hAnsi="仿宋" w:eastAsia="仿宋" w:cs="仿宋"/>
          <w:kern w:val="0"/>
          <w:sz w:val="32"/>
          <w:szCs w:val="32"/>
        </w:rPr>
        <w:t>自评综述：根据年初设定的绩效目标，项目自评得分</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分。全年预算数为</w:t>
      </w:r>
      <w:r>
        <w:rPr>
          <w:rFonts w:hint="eastAsia" w:ascii="仿宋" w:hAnsi="仿宋" w:eastAsia="仿宋" w:cs="仿宋"/>
          <w:kern w:val="0"/>
          <w:sz w:val="32"/>
          <w:szCs w:val="32"/>
          <w:u w:val="single"/>
          <w:lang w:val="en-US" w:eastAsia="zh-CN"/>
        </w:rPr>
        <w:t xml:space="preserve"> 1100</w:t>
      </w:r>
      <w:r>
        <w:rPr>
          <w:rFonts w:hint="eastAsia" w:ascii="仿宋" w:hAnsi="仿宋" w:eastAsia="仿宋" w:cs="仿宋"/>
          <w:kern w:val="0"/>
          <w:sz w:val="32"/>
          <w:szCs w:val="32"/>
        </w:rPr>
        <w:t>万元，执行数为</w:t>
      </w:r>
      <w:r>
        <w:rPr>
          <w:rFonts w:hint="eastAsia" w:ascii="仿宋" w:hAnsi="仿宋" w:eastAsia="仿宋" w:cs="仿宋"/>
          <w:kern w:val="0"/>
          <w:sz w:val="32"/>
          <w:szCs w:val="32"/>
          <w:u w:val="single"/>
          <w:lang w:val="en-US" w:eastAsia="zh-CN"/>
        </w:rPr>
        <w:t xml:space="preserve"> 1100</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%。项目绩效目标完成情况： 根据鄂财债指〔2024〕450号《鄂尔多斯市财政局关于转贷2024年第四批新增地方政府一般债券资金的通知》文件精神，转贷2024年第四批新增地方政府一般债券资金1100万元用于开展核磁共振项目。我单位根据相关文件要求，确保转款专用，将本次债券资金用于支付核磁共振项目相关设备购置支出，以提升本地区医疗服务质量，合理安排财政拨付资金，确保花钱必问效，无效必问责机制，统筹结合，确保使用出资金应有价值。</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4"/>
        <w:gridCol w:w="736"/>
        <w:gridCol w:w="734"/>
        <w:gridCol w:w="670"/>
        <w:gridCol w:w="670"/>
        <w:gridCol w:w="674"/>
        <w:gridCol w:w="1476"/>
        <w:gridCol w:w="1476"/>
        <w:gridCol w:w="676"/>
        <w:gridCol w:w="670"/>
        <w:gridCol w:w="701"/>
        <w:gridCol w:w="739"/>
      </w:tblGrid>
      <w:tr w14:paraId="67CFE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27D3BFD">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5F8ED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3A538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30966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内蒙古自治区鄂尔多斯市鄂托克旗公立医院医疗设备设施采购项目</w:t>
            </w:r>
          </w:p>
        </w:tc>
      </w:tr>
      <w:tr w14:paraId="09AF2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A628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59DA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鄂托克旗卫生健康委员会（部门）</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E509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78A1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鄂托克旗第二人民医院</w:t>
            </w:r>
          </w:p>
        </w:tc>
      </w:tr>
      <w:tr w14:paraId="0E57A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00B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E6333">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40E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C6B7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90D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5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72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900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2C77F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9EAF6">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4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59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6F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67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F28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8FE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06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7BA78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E824E">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67D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17E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9B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BFF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D8002">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41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BB47">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0AF5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DB6B7">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54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1C26">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34467">
            <w:pPr>
              <w:jc w:val="cente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818A9">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1622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44BA3">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CEC7">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1A39B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EED41">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8E6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2F8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315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9E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A5905">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9C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1274E">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CE3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E4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7D63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749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505A3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18EA4">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80C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根据鄂财债指〔2024〕450号《鄂尔多斯市财政局关于转贷2024年第四批新增地方政府一般债券资金的通知》文件精神，转贷2024年第四批新增地方政府一般债券资金1100万元用于开展核磁共振项目。</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792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根据鄂财债指〔2024〕450号《鄂尔多斯市财政局关于转贷2024年第四批新增地方政府一般债券资金的通知》文件精神，转贷2024年第四批新增地方政府一般债券资金1100万元用于开展核磁共振项目。我单位根据相关文件要求，确保转款专用，将本次债券资金用于支付核磁共振项目相关设备购置支出，以提升本地区医疗服务质量，合理安排财政拨付资金，确保花钱必问效，无效必问责机制，统筹结合，确保使用出资金应有价值。</w:t>
            </w:r>
          </w:p>
        </w:tc>
      </w:tr>
      <w:tr w14:paraId="4D51D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ECF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8D4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25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73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56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C3D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8FA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B7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45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74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F16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CC4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17463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FE867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5D0D5C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9F3A6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FD2B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核磁共振设备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A1A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8AF2A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2B804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7131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BE06F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DA1D5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D4E0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1F4D241">
            <w:pPr>
              <w:jc w:val="center"/>
              <w:rPr>
                <w:rFonts w:hint="eastAsia" w:ascii="宋体" w:hAnsi="宋体" w:eastAsia="宋体" w:cs="宋体"/>
                <w:i w:val="0"/>
                <w:iCs w:val="0"/>
                <w:color w:val="000000"/>
                <w:sz w:val="18"/>
                <w:szCs w:val="18"/>
                <w:u w:val="none"/>
              </w:rPr>
            </w:pPr>
          </w:p>
        </w:tc>
      </w:tr>
      <w:tr w14:paraId="08204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F359E0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8EDA8BC">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E90983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D826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核磁共振项目</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8895A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80374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98D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1392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1D20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D7C90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29D1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5B96C4E">
            <w:pPr>
              <w:jc w:val="center"/>
              <w:rPr>
                <w:rFonts w:hint="eastAsia" w:ascii="宋体" w:hAnsi="宋体" w:eastAsia="宋体" w:cs="宋体"/>
                <w:i w:val="0"/>
                <w:iCs w:val="0"/>
                <w:color w:val="000000"/>
                <w:sz w:val="18"/>
                <w:szCs w:val="18"/>
                <w:u w:val="none"/>
              </w:rPr>
            </w:pPr>
          </w:p>
        </w:tc>
      </w:tr>
      <w:tr w14:paraId="0E14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0797437">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B40ABAF">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511F4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7324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D823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3548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7E7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D93F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D3D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6382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9732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03D68EC">
            <w:pPr>
              <w:jc w:val="center"/>
              <w:rPr>
                <w:rFonts w:hint="eastAsia" w:ascii="宋体" w:hAnsi="宋体" w:eastAsia="宋体" w:cs="宋体"/>
                <w:i w:val="0"/>
                <w:iCs w:val="0"/>
                <w:color w:val="000000"/>
                <w:sz w:val="18"/>
                <w:szCs w:val="18"/>
                <w:u w:val="none"/>
              </w:rPr>
            </w:pPr>
          </w:p>
        </w:tc>
      </w:tr>
      <w:tr w14:paraId="1FF34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C4E961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A97E3D5">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75564F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4821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EC5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5DC2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9401E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A3B4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6F6CC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1FEC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9717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453CE06">
            <w:pPr>
              <w:jc w:val="center"/>
              <w:rPr>
                <w:rFonts w:hint="eastAsia" w:ascii="宋体" w:hAnsi="宋体" w:eastAsia="宋体" w:cs="宋体"/>
                <w:i w:val="0"/>
                <w:iCs w:val="0"/>
                <w:color w:val="000000"/>
                <w:sz w:val="18"/>
                <w:szCs w:val="18"/>
                <w:u w:val="none"/>
              </w:rPr>
            </w:pPr>
          </w:p>
        </w:tc>
      </w:tr>
      <w:tr w14:paraId="09F02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5050B78">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0209293">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F9AC4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9094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项目开展时间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A253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EA065A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E205F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2024.1-2024.12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0E9BE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2024.1-2024.12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45C33F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3086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B1C4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B681C7B">
            <w:pPr>
              <w:jc w:val="center"/>
              <w:rPr>
                <w:rFonts w:hint="eastAsia" w:ascii="宋体" w:hAnsi="宋体" w:eastAsia="宋体" w:cs="宋体"/>
                <w:i w:val="0"/>
                <w:iCs w:val="0"/>
                <w:color w:val="000000"/>
                <w:sz w:val="18"/>
                <w:szCs w:val="18"/>
                <w:u w:val="none"/>
              </w:rPr>
            </w:pPr>
          </w:p>
        </w:tc>
      </w:tr>
      <w:tr w14:paraId="5E7A1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9CEB316">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56E4F30">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A53ABF7">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3D8D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项目时效率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593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D74D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2C9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2FE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FE30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62C3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1D90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9F78858">
            <w:pPr>
              <w:jc w:val="center"/>
              <w:rPr>
                <w:rFonts w:hint="eastAsia" w:ascii="宋体" w:hAnsi="宋体" w:eastAsia="宋体" w:cs="宋体"/>
                <w:i w:val="0"/>
                <w:iCs w:val="0"/>
                <w:color w:val="000000"/>
                <w:sz w:val="18"/>
                <w:szCs w:val="18"/>
                <w:u w:val="none"/>
              </w:rPr>
            </w:pPr>
          </w:p>
        </w:tc>
      </w:tr>
      <w:tr w14:paraId="3EE10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EB08330">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69AF4E0">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07DE4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0F01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核磁共振设备成本</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AE4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25820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AB9D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E05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E3F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89769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A154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214B0E1">
            <w:pPr>
              <w:jc w:val="center"/>
              <w:rPr>
                <w:rFonts w:hint="eastAsia" w:ascii="宋体" w:hAnsi="宋体" w:eastAsia="宋体" w:cs="宋体"/>
                <w:i w:val="0"/>
                <w:iCs w:val="0"/>
                <w:color w:val="000000"/>
                <w:sz w:val="18"/>
                <w:szCs w:val="18"/>
                <w:u w:val="none"/>
              </w:rPr>
            </w:pPr>
          </w:p>
        </w:tc>
      </w:tr>
      <w:tr w14:paraId="4D01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E32D4D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361284A">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8CCDE5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0FB8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8E45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C9DB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F0F1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07E4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BD2E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33F3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41F7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60BC6FF">
            <w:pPr>
              <w:jc w:val="center"/>
              <w:rPr>
                <w:rFonts w:hint="eastAsia" w:ascii="宋体" w:hAnsi="宋体" w:eastAsia="宋体" w:cs="宋体"/>
                <w:i w:val="0"/>
                <w:iCs w:val="0"/>
                <w:color w:val="000000"/>
                <w:sz w:val="18"/>
                <w:szCs w:val="18"/>
                <w:u w:val="none"/>
              </w:rPr>
            </w:pPr>
          </w:p>
        </w:tc>
      </w:tr>
      <w:tr w14:paraId="3117E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AEC932B">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82C5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365A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C45E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带动地区经济发展</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E448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90AA03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972A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13A3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显著 </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B4E5C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D93A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3573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8F2BBC7">
            <w:pPr>
              <w:jc w:val="center"/>
              <w:rPr>
                <w:rFonts w:hint="eastAsia" w:ascii="宋体" w:hAnsi="宋体" w:eastAsia="宋体" w:cs="宋体"/>
                <w:i w:val="0"/>
                <w:iCs w:val="0"/>
                <w:color w:val="000000"/>
                <w:sz w:val="18"/>
                <w:szCs w:val="18"/>
                <w:u w:val="none"/>
              </w:rPr>
            </w:pPr>
          </w:p>
        </w:tc>
      </w:tr>
      <w:tr w14:paraId="29D57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C7C5C8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96E55FE">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EF52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9BDB1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提升当地综合医疗服务水平</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BEE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D790B5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0B255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90B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显著 </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797D1C5">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3FE1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0CFE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A82CC23">
            <w:pPr>
              <w:jc w:val="center"/>
              <w:rPr>
                <w:rFonts w:hint="eastAsia" w:ascii="宋体" w:hAnsi="宋体" w:eastAsia="宋体" w:cs="宋体"/>
                <w:i w:val="0"/>
                <w:iCs w:val="0"/>
                <w:color w:val="000000"/>
                <w:sz w:val="18"/>
                <w:szCs w:val="18"/>
                <w:u w:val="none"/>
              </w:rPr>
            </w:pPr>
          </w:p>
        </w:tc>
      </w:tr>
      <w:tr w14:paraId="20B95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2D59058">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751F161">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4AD2F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6655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促进生态平衡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F2B7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D020BC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E1B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19C3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显著 </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C87454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6A9E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72CB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3383ABB">
            <w:pPr>
              <w:jc w:val="center"/>
              <w:rPr>
                <w:rFonts w:hint="eastAsia" w:ascii="宋体" w:hAnsi="宋体" w:eastAsia="宋体" w:cs="宋体"/>
                <w:i w:val="0"/>
                <w:iCs w:val="0"/>
                <w:color w:val="000000"/>
                <w:sz w:val="18"/>
                <w:szCs w:val="18"/>
                <w:u w:val="none"/>
              </w:rPr>
            </w:pPr>
          </w:p>
        </w:tc>
      </w:tr>
      <w:tr w14:paraId="4910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47F2F4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6C09FED">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20EC4D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9C7D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持续为当地患者服务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6BBA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93E8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B4DED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8E36E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8BA0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F7159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5E97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7594B46">
            <w:pPr>
              <w:jc w:val="center"/>
              <w:rPr>
                <w:rFonts w:hint="eastAsia" w:ascii="宋体" w:hAnsi="宋体" w:eastAsia="宋体" w:cs="宋体"/>
                <w:i w:val="0"/>
                <w:iCs w:val="0"/>
                <w:color w:val="000000"/>
                <w:sz w:val="18"/>
                <w:szCs w:val="18"/>
                <w:u w:val="none"/>
              </w:rPr>
            </w:pPr>
          </w:p>
        </w:tc>
      </w:tr>
      <w:tr w14:paraId="7A699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C7C2C2B">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D7DA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064F8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89B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患者及工作人员满意度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B9A74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E1DB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B62F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4C3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0396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FAD7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D7F920C">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62CDB1D">
            <w:pPr>
              <w:jc w:val="center"/>
              <w:rPr>
                <w:rFonts w:hint="eastAsia" w:ascii="宋体" w:hAnsi="宋体" w:eastAsia="宋体" w:cs="宋体"/>
                <w:i w:val="0"/>
                <w:iCs w:val="0"/>
                <w:color w:val="000000"/>
                <w:sz w:val="18"/>
                <w:szCs w:val="18"/>
                <w:u w:val="none"/>
              </w:rPr>
            </w:pPr>
          </w:p>
        </w:tc>
      </w:tr>
      <w:tr w14:paraId="3157A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41480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AC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53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w:t>
            </w: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533A1">
            <w:pPr>
              <w:jc w:val="center"/>
              <w:rPr>
                <w:rFonts w:hint="eastAsia" w:ascii="宋体" w:hAnsi="宋体" w:eastAsia="宋体" w:cs="宋体"/>
                <w:i w:val="0"/>
                <w:iCs w:val="0"/>
                <w:color w:val="000000"/>
                <w:sz w:val="18"/>
                <w:szCs w:val="18"/>
                <w:u w:val="none"/>
              </w:rPr>
            </w:pPr>
          </w:p>
        </w:tc>
      </w:tr>
    </w:tbl>
    <w:p w14:paraId="1DD0F029">
      <w:pPr>
        <w:widowControl/>
        <w:numPr>
          <w:ilvl w:val="0"/>
          <w:numId w:val="2"/>
        </w:numPr>
        <w:spacing w:before="240" w:after="240"/>
        <w:ind w:left="0" w:leftChars="0" w:firstLine="640" w:firstLineChars="200"/>
        <w:rPr>
          <w:rFonts w:hint="eastAsia" w:ascii="仿宋" w:hAnsi="仿宋" w:eastAsia="仿宋" w:cs="仿宋"/>
          <w:kern w:val="0"/>
          <w:sz w:val="32"/>
          <w:szCs w:val="32"/>
        </w:rPr>
      </w:pPr>
      <w:r>
        <w:rPr>
          <w:rFonts w:hint="eastAsia" w:ascii="仿宋_GB2312" w:hAnsi="仿宋_GB2312" w:eastAsia="仿宋_GB2312" w:cs="仿宋_GB2312"/>
          <w:bCs/>
          <w:kern w:val="2"/>
          <w:sz w:val="32"/>
          <w:szCs w:val="32"/>
          <w:lang w:val="en-US" w:eastAsia="zh-CN" w:bidi="ar-SA"/>
        </w:rPr>
        <w:t>预防性体检项目</w:t>
      </w:r>
      <w:r>
        <w:rPr>
          <w:rFonts w:hint="eastAsia" w:ascii="仿宋" w:hAnsi="仿宋" w:eastAsia="仿宋" w:cs="仿宋"/>
          <w:kern w:val="0"/>
          <w:sz w:val="32"/>
          <w:szCs w:val="32"/>
        </w:rPr>
        <w:t>自评综述：根据年初设定的绩效目标，项目自评得分</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分。全年预算数为</w:t>
      </w:r>
      <w:r>
        <w:rPr>
          <w:rFonts w:hint="eastAsia" w:ascii="仿宋" w:hAnsi="仿宋" w:eastAsia="仿宋" w:cs="仿宋"/>
          <w:kern w:val="0"/>
          <w:sz w:val="32"/>
          <w:szCs w:val="32"/>
          <w:u w:val="single"/>
          <w:lang w:val="en-US" w:eastAsia="zh-CN"/>
        </w:rPr>
        <w:t xml:space="preserve"> 60 </w:t>
      </w:r>
      <w:r>
        <w:rPr>
          <w:rFonts w:hint="eastAsia" w:ascii="仿宋" w:hAnsi="仿宋" w:eastAsia="仿宋" w:cs="仿宋"/>
          <w:kern w:val="0"/>
          <w:sz w:val="32"/>
          <w:szCs w:val="32"/>
        </w:rPr>
        <w:t>万元，执行数为</w:t>
      </w:r>
      <w:r>
        <w:rPr>
          <w:rFonts w:hint="eastAsia" w:ascii="仿宋" w:hAnsi="仿宋" w:eastAsia="仿宋" w:cs="仿宋"/>
          <w:kern w:val="0"/>
          <w:sz w:val="32"/>
          <w:szCs w:val="32"/>
          <w:u w:val="single"/>
          <w:lang w:val="en-US" w:eastAsia="zh-CN"/>
        </w:rPr>
        <w:t xml:space="preserve"> 60 </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%。项目绩效目标完成情况： 根据相关文件政策要求，财政拨付60万元用于从业人员健康体检。为2024年度棋盘井镇及工业园区餐饮、住宿、公共场所、服务行业等从业人员健康体检顺利完成。我单位根据相关文件要求，确保转款专用，将鄂托克旗第二人民医院关于2024年从业人员健康体检费的项目资金用于支付从业人员健康体检相关人员经费及耗材支出，合理安排财政拨付资金，确保花钱必问效，无效必问责机制，统筹结合，确保使用出资金应有价值。绩效目标设定及指标完成情况。</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4"/>
        <w:gridCol w:w="736"/>
        <w:gridCol w:w="734"/>
        <w:gridCol w:w="670"/>
        <w:gridCol w:w="670"/>
        <w:gridCol w:w="674"/>
        <w:gridCol w:w="1476"/>
        <w:gridCol w:w="1476"/>
        <w:gridCol w:w="676"/>
        <w:gridCol w:w="670"/>
        <w:gridCol w:w="701"/>
        <w:gridCol w:w="739"/>
      </w:tblGrid>
      <w:tr w14:paraId="45C7E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5C957D9">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2AD76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404B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9FFA0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预防性体检</w:t>
            </w:r>
          </w:p>
        </w:tc>
      </w:tr>
      <w:tr w14:paraId="7593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B82F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CFAE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鄂托克旗卫生健康委员会（部门）</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48F2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5469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鄂托克旗第二人民医院</w:t>
            </w:r>
          </w:p>
        </w:tc>
      </w:tr>
      <w:tr w14:paraId="300F2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2D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8BBAA">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8A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C7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A1F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591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F1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B4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69343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B05E1">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88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6FF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5E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F0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A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F7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3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68AD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D1ACA">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74D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55E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86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B76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34F9">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44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90CED">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C66A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33B39">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6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0F403">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B33D3">
            <w:pPr>
              <w:jc w:val="cente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68FD9">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60FD4">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C0ECD">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7CA4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46F5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B6E7C">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F4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191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46D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0E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D004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5EA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83F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492B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05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243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5513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320DA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9F6F5">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8AE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为2022年度棋盘井镇及工业园区餐饮、住宿、公共场所、服务行业等从业人员健康体检顺利完成。</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6CF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根据相关文件政策要求，财政拨付60万元用于从业人员健康体检。为2024年度棋盘井镇及工业园区餐饮、住宿、公共场所、服务行业等从业人员健康体检顺利完成。我单位根据相关文件要求，确保转款专用，将鄂托克旗第二人民医院关于2024年从业人员健康体检费的项目资金用于支付从业人员健康体检相关人员经费及耗材支出，合理安排财政拨付资金，确保花钱必问效，无效必问责机制，统筹结合，确保使用出资金应有价值。绩效目标设定及指标完成情况。</w:t>
            </w:r>
          </w:p>
        </w:tc>
      </w:tr>
      <w:tr w14:paraId="5A09F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F7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696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25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E91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7D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51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91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329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E1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59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4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A3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71C0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247E1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0C7B4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FBD6E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C2F1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健康体检检查项目</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A8D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34024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36B7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5A9D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0941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5D2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2468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52CC1B9">
            <w:pPr>
              <w:jc w:val="center"/>
              <w:rPr>
                <w:rFonts w:hint="eastAsia" w:ascii="宋体" w:hAnsi="宋体" w:eastAsia="宋体" w:cs="宋体"/>
                <w:i w:val="0"/>
                <w:iCs w:val="0"/>
                <w:color w:val="000000"/>
                <w:sz w:val="18"/>
                <w:szCs w:val="18"/>
                <w:u w:val="none"/>
              </w:rPr>
            </w:pPr>
          </w:p>
        </w:tc>
      </w:tr>
      <w:tr w14:paraId="54D00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6ADED44">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99B36A1">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8BC971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CEC12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预计参加健康体检人数</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B6F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0531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F47C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A2F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2C24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0F4D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06D6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45C5B96">
            <w:pPr>
              <w:jc w:val="center"/>
              <w:rPr>
                <w:rFonts w:hint="eastAsia" w:ascii="宋体" w:hAnsi="宋体" w:eastAsia="宋体" w:cs="宋体"/>
                <w:i w:val="0"/>
                <w:iCs w:val="0"/>
                <w:color w:val="000000"/>
                <w:sz w:val="18"/>
                <w:szCs w:val="18"/>
                <w:u w:val="none"/>
              </w:rPr>
            </w:pPr>
          </w:p>
        </w:tc>
      </w:tr>
      <w:tr w14:paraId="61CE5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649070C">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6C9FBF4">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58EC2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B7F0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基本健康体检完成率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E30F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2097E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BC76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E39F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B4DF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D435B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A296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C04218D">
            <w:pPr>
              <w:jc w:val="center"/>
              <w:rPr>
                <w:rFonts w:hint="eastAsia" w:ascii="宋体" w:hAnsi="宋体" w:eastAsia="宋体" w:cs="宋体"/>
                <w:i w:val="0"/>
                <w:iCs w:val="0"/>
                <w:color w:val="000000"/>
                <w:sz w:val="18"/>
                <w:szCs w:val="18"/>
                <w:u w:val="none"/>
              </w:rPr>
            </w:pPr>
          </w:p>
        </w:tc>
      </w:tr>
      <w:tr w14:paraId="0D76C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F8DCC73">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29AB736">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F78DD9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947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7AD78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A01E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1D2D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A9CF2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63A2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D1C1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9636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0228E09">
            <w:pPr>
              <w:jc w:val="center"/>
              <w:rPr>
                <w:rFonts w:hint="eastAsia" w:ascii="宋体" w:hAnsi="宋体" w:eastAsia="宋体" w:cs="宋体"/>
                <w:i w:val="0"/>
                <w:iCs w:val="0"/>
                <w:color w:val="000000"/>
                <w:sz w:val="18"/>
                <w:szCs w:val="18"/>
                <w:u w:val="none"/>
              </w:rPr>
            </w:pPr>
          </w:p>
        </w:tc>
      </w:tr>
      <w:tr w14:paraId="66F2D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C1DF161">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B3051BA">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235B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B54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CA30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6A4E87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0CD9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2024.1-2024.12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FBA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2024.1-2024.12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631AEED">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3A239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D9C5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D05B8CD">
            <w:pPr>
              <w:jc w:val="center"/>
              <w:rPr>
                <w:rFonts w:hint="eastAsia" w:ascii="宋体" w:hAnsi="宋体" w:eastAsia="宋体" w:cs="宋体"/>
                <w:i w:val="0"/>
                <w:iCs w:val="0"/>
                <w:color w:val="000000"/>
                <w:sz w:val="18"/>
                <w:szCs w:val="18"/>
                <w:u w:val="none"/>
              </w:rPr>
            </w:pPr>
          </w:p>
        </w:tc>
      </w:tr>
      <w:tr w14:paraId="7C241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C370E5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82BB13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B73234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97B4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完成时效率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5043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58A74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EBC1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2F7AF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2B80F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FC4F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25A3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5CAC807">
            <w:pPr>
              <w:jc w:val="center"/>
              <w:rPr>
                <w:rFonts w:hint="eastAsia" w:ascii="宋体" w:hAnsi="宋体" w:eastAsia="宋体" w:cs="宋体"/>
                <w:i w:val="0"/>
                <w:iCs w:val="0"/>
                <w:color w:val="000000"/>
                <w:sz w:val="18"/>
                <w:szCs w:val="18"/>
                <w:u w:val="none"/>
              </w:rPr>
            </w:pPr>
          </w:p>
        </w:tc>
      </w:tr>
      <w:tr w14:paraId="09269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397FECD">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097E0D0">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2B72D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F812D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健康体检人均成本</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AAA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4508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2E2BB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D92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89.99</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FD11E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6AF89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9F59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630B324">
            <w:pPr>
              <w:jc w:val="center"/>
              <w:rPr>
                <w:rFonts w:hint="eastAsia" w:ascii="宋体" w:hAnsi="宋体" w:eastAsia="宋体" w:cs="宋体"/>
                <w:i w:val="0"/>
                <w:iCs w:val="0"/>
                <w:color w:val="000000"/>
                <w:sz w:val="18"/>
                <w:szCs w:val="18"/>
                <w:u w:val="none"/>
              </w:rPr>
            </w:pPr>
          </w:p>
        </w:tc>
      </w:tr>
      <w:tr w14:paraId="30407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E638A98">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68649BC">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DF8416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41DD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健康体检成本控制数</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B33B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9C1AB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0CE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2A447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19E5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B269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83E8C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0D68380">
            <w:pPr>
              <w:jc w:val="center"/>
              <w:rPr>
                <w:rFonts w:hint="eastAsia" w:ascii="宋体" w:hAnsi="宋体" w:eastAsia="宋体" w:cs="宋体"/>
                <w:i w:val="0"/>
                <w:iCs w:val="0"/>
                <w:color w:val="000000"/>
                <w:sz w:val="18"/>
                <w:szCs w:val="18"/>
                <w:u w:val="none"/>
              </w:rPr>
            </w:pPr>
          </w:p>
        </w:tc>
      </w:tr>
      <w:tr w14:paraId="78604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6D86A46">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6E23A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33ED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F4492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带动本地区经济发展</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C04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A6BE4BD">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6C30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6026F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56E60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CDB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ACE5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CC6C5A9">
            <w:pPr>
              <w:jc w:val="center"/>
              <w:rPr>
                <w:rFonts w:hint="eastAsia" w:ascii="宋体" w:hAnsi="宋体" w:eastAsia="宋体" w:cs="宋体"/>
                <w:i w:val="0"/>
                <w:iCs w:val="0"/>
                <w:color w:val="000000"/>
                <w:sz w:val="18"/>
                <w:szCs w:val="18"/>
                <w:u w:val="none"/>
              </w:rPr>
            </w:pPr>
          </w:p>
        </w:tc>
      </w:tr>
      <w:tr w14:paraId="38D15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A40C98E">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2A602DC">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92B7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A0956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降低疾病传播风险</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A38FF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DDDF4F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B005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337A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745B45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D6A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FEF0C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51468AB">
            <w:pPr>
              <w:jc w:val="center"/>
              <w:rPr>
                <w:rFonts w:hint="eastAsia" w:ascii="宋体" w:hAnsi="宋体" w:eastAsia="宋体" w:cs="宋体"/>
                <w:i w:val="0"/>
                <w:iCs w:val="0"/>
                <w:color w:val="000000"/>
                <w:sz w:val="18"/>
                <w:szCs w:val="18"/>
                <w:u w:val="none"/>
              </w:rPr>
            </w:pPr>
          </w:p>
        </w:tc>
      </w:tr>
      <w:tr w14:paraId="7F61C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F61665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CBBA1F9">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09C3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DED5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降低生态污染</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3567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73FEB4D">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B9FB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F626B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7D64AD8">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B2A9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4F0CD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870C0DB">
            <w:pPr>
              <w:jc w:val="center"/>
              <w:rPr>
                <w:rFonts w:hint="eastAsia" w:ascii="宋体" w:hAnsi="宋体" w:eastAsia="宋体" w:cs="宋体"/>
                <w:i w:val="0"/>
                <w:iCs w:val="0"/>
                <w:color w:val="000000"/>
                <w:sz w:val="18"/>
                <w:szCs w:val="18"/>
                <w:u w:val="none"/>
              </w:rPr>
            </w:pPr>
          </w:p>
        </w:tc>
      </w:tr>
      <w:tr w14:paraId="7C5B3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EA6438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78700B1">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299F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394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持续为镇区参加健康体检人员服务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D19C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05B0CE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4616C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9936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22EB03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4A8A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0902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A617261">
            <w:pPr>
              <w:jc w:val="center"/>
              <w:rPr>
                <w:rFonts w:hint="eastAsia" w:ascii="宋体" w:hAnsi="宋体" w:eastAsia="宋体" w:cs="宋体"/>
                <w:i w:val="0"/>
                <w:iCs w:val="0"/>
                <w:color w:val="000000"/>
                <w:sz w:val="18"/>
                <w:szCs w:val="18"/>
                <w:u w:val="none"/>
              </w:rPr>
            </w:pPr>
          </w:p>
        </w:tc>
      </w:tr>
      <w:tr w14:paraId="5045C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3370A92">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458EF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4E98A3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0C52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受检群众满意度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4A0F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920C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24A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5902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6F9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D569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699FD6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44BD582">
            <w:pPr>
              <w:jc w:val="center"/>
              <w:rPr>
                <w:rFonts w:hint="eastAsia" w:ascii="宋体" w:hAnsi="宋体" w:eastAsia="宋体" w:cs="宋体"/>
                <w:i w:val="0"/>
                <w:iCs w:val="0"/>
                <w:color w:val="000000"/>
                <w:sz w:val="18"/>
                <w:szCs w:val="18"/>
                <w:u w:val="none"/>
              </w:rPr>
            </w:pPr>
          </w:p>
        </w:tc>
      </w:tr>
      <w:tr w14:paraId="4DBC9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D1853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69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8F1AB">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50CBE">
            <w:pPr>
              <w:jc w:val="center"/>
              <w:rPr>
                <w:rFonts w:hint="eastAsia" w:ascii="宋体" w:hAnsi="宋体" w:eastAsia="宋体" w:cs="宋体"/>
                <w:i w:val="0"/>
                <w:iCs w:val="0"/>
                <w:color w:val="000000"/>
                <w:sz w:val="18"/>
                <w:szCs w:val="18"/>
                <w:u w:val="none"/>
              </w:rPr>
            </w:pPr>
          </w:p>
        </w:tc>
      </w:tr>
    </w:tbl>
    <w:p w14:paraId="68FD3F16">
      <w:pPr>
        <w:widowControl/>
        <w:numPr>
          <w:ilvl w:val="0"/>
          <w:numId w:val="0"/>
        </w:numPr>
        <w:spacing w:before="240" w:after="240"/>
        <w:rPr>
          <w:rFonts w:hint="eastAsia" w:ascii="仿宋" w:hAnsi="仿宋" w:eastAsia="仿宋" w:cs="仿宋"/>
          <w:kern w:val="0"/>
          <w:sz w:val="32"/>
          <w:szCs w:val="32"/>
        </w:rPr>
      </w:pPr>
    </w:p>
    <w:p w14:paraId="304EF718">
      <w:pPr>
        <w:widowControl/>
        <w:numPr>
          <w:ilvl w:val="0"/>
          <w:numId w:val="2"/>
        </w:numPr>
        <w:spacing w:before="240" w:after="240"/>
        <w:ind w:left="0" w:leftChars="0" w:firstLine="640" w:firstLineChars="200"/>
        <w:rPr>
          <w:rFonts w:hint="eastAsia" w:ascii="仿宋" w:hAnsi="仿宋" w:eastAsia="仿宋" w:cs="仿宋"/>
          <w:kern w:val="0"/>
          <w:sz w:val="32"/>
          <w:szCs w:val="32"/>
        </w:rPr>
      </w:pPr>
      <w:r>
        <w:rPr>
          <w:rFonts w:hint="eastAsia" w:ascii="仿宋_GB2312" w:hAnsi="仿宋_GB2312" w:eastAsia="仿宋_GB2312" w:cs="仿宋_GB2312"/>
          <w:bCs/>
          <w:kern w:val="2"/>
          <w:sz w:val="32"/>
          <w:szCs w:val="32"/>
          <w:lang w:val="en-US" w:eastAsia="zh-CN" w:bidi="ar-SA"/>
        </w:rPr>
        <w:t>引进医疗卫生人才生活补贴项目</w:t>
      </w:r>
      <w:r>
        <w:rPr>
          <w:rFonts w:hint="eastAsia" w:ascii="仿宋" w:hAnsi="仿宋" w:eastAsia="仿宋" w:cs="仿宋"/>
          <w:kern w:val="0"/>
          <w:sz w:val="32"/>
          <w:szCs w:val="32"/>
        </w:rPr>
        <w:t>自评综述：根据年初设定的绩效目标，项目自评得分</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分。全年预算数为</w:t>
      </w:r>
      <w:r>
        <w:rPr>
          <w:rFonts w:hint="eastAsia" w:ascii="仿宋" w:hAnsi="仿宋" w:eastAsia="仿宋" w:cs="仿宋"/>
          <w:kern w:val="0"/>
          <w:sz w:val="32"/>
          <w:szCs w:val="32"/>
          <w:u w:val="single"/>
          <w:lang w:val="en-US" w:eastAsia="zh-CN"/>
        </w:rPr>
        <w:t xml:space="preserve"> 51.6 </w:t>
      </w:r>
      <w:r>
        <w:rPr>
          <w:rFonts w:hint="eastAsia" w:ascii="仿宋" w:hAnsi="仿宋" w:eastAsia="仿宋" w:cs="仿宋"/>
          <w:kern w:val="0"/>
          <w:sz w:val="32"/>
          <w:szCs w:val="32"/>
        </w:rPr>
        <w:t>万元，执行数为</w:t>
      </w:r>
      <w:r>
        <w:rPr>
          <w:rFonts w:hint="eastAsia" w:ascii="仿宋" w:hAnsi="仿宋" w:eastAsia="仿宋" w:cs="仿宋"/>
          <w:kern w:val="0"/>
          <w:sz w:val="32"/>
          <w:szCs w:val="32"/>
          <w:u w:val="single"/>
          <w:lang w:val="en-US" w:eastAsia="zh-CN"/>
        </w:rPr>
        <w:t xml:space="preserve"> 51.6 </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项目绩效目标完成情况：我单位根据相关文件要求，确保转款专用，将鄂托克旗第二人民医院关于中央补助重大传染病防控经费资金用于支付棋盘井镇区居民重大传染病筛查项目相关耗材支出，合理安排财政拨付资金。发现的主要问题及原因：</w:t>
      </w:r>
      <w:r>
        <w:rPr>
          <w:rFonts w:hint="eastAsia" w:ascii="仿宋" w:hAnsi="仿宋" w:eastAsia="仿宋" w:cs="仿宋"/>
          <w:kern w:val="0"/>
          <w:sz w:val="32"/>
          <w:szCs w:val="32"/>
          <w:lang w:val="en-US" w:eastAsia="zh-CN"/>
        </w:rPr>
        <w:t>无</w:t>
      </w:r>
      <w:r>
        <w:rPr>
          <w:rFonts w:hint="eastAsia" w:ascii="仿宋" w:hAnsi="仿宋" w:eastAsia="仿宋" w:cs="仿宋"/>
          <w:kern w:val="0"/>
          <w:sz w:val="32"/>
          <w:szCs w:val="32"/>
        </w:rPr>
        <w:t>。下一步改进措施：</w:t>
      </w:r>
      <w:r>
        <w:rPr>
          <w:rFonts w:hint="eastAsia" w:ascii="仿宋" w:hAnsi="仿宋" w:eastAsia="仿宋" w:cs="仿宋"/>
          <w:kern w:val="0"/>
          <w:sz w:val="32"/>
          <w:szCs w:val="32"/>
          <w:lang w:val="en-US" w:eastAsia="zh-CN"/>
        </w:rPr>
        <w:t>进一步加强专项资金管理，科学统筹安排资金支付进度，提升医院综合服务能力</w:t>
      </w:r>
      <w:r>
        <w:rPr>
          <w:rFonts w:hint="eastAsia" w:ascii="仿宋" w:hAnsi="仿宋" w:eastAsia="仿宋" w:cs="仿宋"/>
          <w:kern w:val="0"/>
          <w:sz w:val="32"/>
          <w:szCs w:val="32"/>
        </w:rPr>
        <w:t>。</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6"/>
        <w:gridCol w:w="718"/>
        <w:gridCol w:w="716"/>
        <w:gridCol w:w="652"/>
        <w:gridCol w:w="652"/>
        <w:gridCol w:w="656"/>
        <w:gridCol w:w="1566"/>
        <w:gridCol w:w="1566"/>
        <w:gridCol w:w="658"/>
        <w:gridCol w:w="652"/>
        <w:gridCol w:w="683"/>
        <w:gridCol w:w="721"/>
      </w:tblGrid>
      <w:tr w14:paraId="6C5FC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A73C723">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2F144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4030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44C4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引进医疗卫生人才生活补贴项目</w:t>
            </w:r>
          </w:p>
        </w:tc>
      </w:tr>
      <w:tr w14:paraId="72B7A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5FFBD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71A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鄂托克旗卫生健康委员会（部门）</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DE7E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A029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鄂托克旗第二人民医院</w:t>
            </w:r>
          </w:p>
        </w:tc>
      </w:tr>
      <w:tr w14:paraId="383D7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8954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88C5">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10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38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C9B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D5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2A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19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0C20D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4CC30">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E6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F9B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49D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51.60 </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D1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51.6</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E3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30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0BD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7B44A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01320">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9A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6BC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B4F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51.6</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EDA8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51.6</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C31D">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82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BB0DC">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6B85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B9615">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9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6E017">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0EC5D">
            <w:pPr>
              <w:jc w:val="cente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9A41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2C473">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E28D8">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9514F">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6F81F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49D7B">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F4E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294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F82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F3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5AF60">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61A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C26C">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81B3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36B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1AF0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C00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36D7A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E4456">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FF40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根据鄂托克旗人民政府会议纪要〔2024〕36号《鄂托克旗人民政府会议纪要》；鄂旗二医院字〔2024〕96 号鄂托克旗第二人民医院关于申请2023年引进医疗卫生人才生活补贴经费的报告；《关于申请2023年引进医疗卫生人才生活补贴的函》等文件精神，按“对新引进紧缺专业且成熟的执业医师(执业药师),在工资薪金基础上，再给予3000元/人/月生活补贴”“对新引进的医疗卫生专业优秀毕业生，给予其他普通高校全日制本科生3000元/人/月生活补贴”的补贴标准，我单位共计9人，发放金额51.6万元。</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BAD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根据鄂托克旗人民政府会议纪要〔2024〕36号《鄂托克旗人民政府会议纪要》；鄂旗二医院字〔2024〕96 号鄂托克旗第二人民医院关于申请2023年引进医疗卫生人才生活补贴经费的报告；《关于申请2023年引进医疗卫生人才生活补贴的函》等文件精神，按“对新引进紧缺专业且成熟的执业医师(执业药师),在工资薪金基础上，再给予3000元/人/月生活补贴”“对新引进的医疗卫生专业优秀毕业生，给予其他普通高校全日制本科生3000元/人/月生活补贴”的补贴标准，我单位共计9人，发放金额51.6万元。我单位根据相关文件要求，确保转款专用，合理安排财政拨付资金，确保花钱必问效，无效必问责机制，统筹结合，确保使用出资金应有价值。绩效目标设定及指标完成情况。</w:t>
            </w:r>
          </w:p>
        </w:tc>
      </w:tr>
      <w:tr w14:paraId="0F075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34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F3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C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F9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63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65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F43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98F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27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216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DA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E42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7AD9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459A2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671F9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FBF1B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F1E0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生活补助发放人数</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5B47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304CA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97F9E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BF0E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D80F6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D8A40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96B2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0400F62">
            <w:pPr>
              <w:jc w:val="center"/>
              <w:rPr>
                <w:rFonts w:hint="eastAsia" w:ascii="宋体" w:hAnsi="宋体" w:eastAsia="宋体" w:cs="宋体"/>
                <w:i w:val="0"/>
                <w:iCs w:val="0"/>
                <w:color w:val="000000"/>
                <w:sz w:val="18"/>
                <w:szCs w:val="18"/>
                <w:u w:val="none"/>
              </w:rPr>
            </w:pPr>
          </w:p>
        </w:tc>
      </w:tr>
      <w:tr w14:paraId="4A4C4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E8E3C3E">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D3EC2F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EF7B9B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E0D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生活补助发放批次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095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72F72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B247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B7C02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419F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批</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9CA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A841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9DCFDCF">
            <w:pPr>
              <w:jc w:val="center"/>
              <w:rPr>
                <w:rFonts w:hint="eastAsia" w:ascii="宋体" w:hAnsi="宋体" w:eastAsia="宋体" w:cs="宋体"/>
                <w:i w:val="0"/>
                <w:iCs w:val="0"/>
                <w:color w:val="000000"/>
                <w:sz w:val="18"/>
                <w:szCs w:val="18"/>
                <w:u w:val="none"/>
              </w:rPr>
            </w:pPr>
          </w:p>
        </w:tc>
      </w:tr>
      <w:tr w14:paraId="40099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BC959E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DF460DC">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73CAC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E33A7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生活补助发放及时率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5B88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1E51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C35D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F3321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6603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615A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7680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01C4A84">
            <w:pPr>
              <w:jc w:val="center"/>
              <w:rPr>
                <w:rFonts w:hint="eastAsia" w:ascii="宋体" w:hAnsi="宋体" w:eastAsia="宋体" w:cs="宋体"/>
                <w:i w:val="0"/>
                <w:iCs w:val="0"/>
                <w:color w:val="000000"/>
                <w:sz w:val="18"/>
                <w:szCs w:val="18"/>
                <w:u w:val="none"/>
              </w:rPr>
            </w:pPr>
          </w:p>
        </w:tc>
      </w:tr>
      <w:tr w14:paraId="7F77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E9B590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9AB812C">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3264CB9">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BC61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B459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6AF8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F581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D38A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E83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55791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3DF8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FCDE650">
            <w:pPr>
              <w:jc w:val="center"/>
              <w:rPr>
                <w:rFonts w:hint="eastAsia" w:ascii="宋体" w:hAnsi="宋体" w:eastAsia="宋体" w:cs="宋体"/>
                <w:i w:val="0"/>
                <w:iCs w:val="0"/>
                <w:color w:val="000000"/>
                <w:sz w:val="18"/>
                <w:szCs w:val="18"/>
                <w:u w:val="none"/>
              </w:rPr>
            </w:pPr>
          </w:p>
        </w:tc>
      </w:tr>
      <w:tr w14:paraId="6B88F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547B5E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7653323">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D5C2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2AFF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B4F6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CBD5F9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A53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2024.12-2024.12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9C2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2024.12-2024.12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981D11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10FEB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EC006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2720200">
            <w:pPr>
              <w:jc w:val="center"/>
              <w:rPr>
                <w:rFonts w:hint="eastAsia" w:ascii="宋体" w:hAnsi="宋体" w:eastAsia="宋体" w:cs="宋体"/>
                <w:i w:val="0"/>
                <w:iCs w:val="0"/>
                <w:color w:val="000000"/>
                <w:sz w:val="18"/>
                <w:szCs w:val="18"/>
                <w:u w:val="none"/>
              </w:rPr>
            </w:pPr>
          </w:p>
        </w:tc>
      </w:tr>
      <w:tr w14:paraId="1DFE3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BA1D4A6">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C6854C0">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093D0F8">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68F5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时效完成率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662B9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4761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ECA9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E3C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EFE1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64A6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578B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045DCD5">
            <w:pPr>
              <w:jc w:val="center"/>
              <w:rPr>
                <w:rFonts w:hint="eastAsia" w:ascii="宋体" w:hAnsi="宋体" w:eastAsia="宋体" w:cs="宋体"/>
                <w:i w:val="0"/>
                <w:iCs w:val="0"/>
                <w:color w:val="000000"/>
                <w:sz w:val="18"/>
                <w:szCs w:val="18"/>
                <w:u w:val="none"/>
              </w:rPr>
            </w:pPr>
          </w:p>
        </w:tc>
      </w:tr>
      <w:tr w14:paraId="29B2D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EB6389F">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426002D">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7585F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130C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人均发放金额</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98C1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C2B62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EFA1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1DD2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148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元/月</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94C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7F32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6B14A66">
            <w:pPr>
              <w:jc w:val="center"/>
              <w:rPr>
                <w:rFonts w:hint="eastAsia" w:ascii="宋体" w:hAnsi="宋体" w:eastAsia="宋体" w:cs="宋体"/>
                <w:i w:val="0"/>
                <w:iCs w:val="0"/>
                <w:color w:val="000000"/>
                <w:sz w:val="18"/>
                <w:szCs w:val="18"/>
                <w:u w:val="none"/>
              </w:rPr>
            </w:pPr>
          </w:p>
        </w:tc>
      </w:tr>
      <w:tr w14:paraId="7DB2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E9B4F3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8B7A235">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5A5C528">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8BF7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C60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F76D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B6C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13E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CB57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0B4D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6EE4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4537F7E">
            <w:pPr>
              <w:jc w:val="center"/>
              <w:rPr>
                <w:rFonts w:hint="eastAsia" w:ascii="宋体" w:hAnsi="宋体" w:eastAsia="宋体" w:cs="宋体"/>
                <w:i w:val="0"/>
                <w:iCs w:val="0"/>
                <w:color w:val="000000"/>
                <w:sz w:val="18"/>
                <w:szCs w:val="18"/>
                <w:u w:val="none"/>
              </w:rPr>
            </w:pPr>
          </w:p>
        </w:tc>
      </w:tr>
      <w:tr w14:paraId="7C8F1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1032CD1">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00374B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0E718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2BC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带动地区经济发展</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FE0E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673E5F5">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1570F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6B7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FB5B38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3BA5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68FD3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1A3FE9D">
            <w:pPr>
              <w:jc w:val="center"/>
              <w:rPr>
                <w:rFonts w:hint="eastAsia" w:ascii="宋体" w:hAnsi="宋体" w:eastAsia="宋体" w:cs="宋体"/>
                <w:i w:val="0"/>
                <w:iCs w:val="0"/>
                <w:color w:val="000000"/>
                <w:sz w:val="18"/>
                <w:szCs w:val="18"/>
                <w:u w:val="none"/>
              </w:rPr>
            </w:pPr>
          </w:p>
        </w:tc>
      </w:tr>
      <w:tr w14:paraId="44E4A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3E06CD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07C48E1">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46F96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34152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维护社会稳定</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B5C6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E80D4A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EF7A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B76E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685C18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9A3C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2F97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EF2D536">
            <w:pPr>
              <w:jc w:val="center"/>
              <w:rPr>
                <w:rFonts w:hint="eastAsia" w:ascii="宋体" w:hAnsi="宋体" w:eastAsia="宋体" w:cs="宋体"/>
                <w:i w:val="0"/>
                <w:iCs w:val="0"/>
                <w:color w:val="000000"/>
                <w:sz w:val="18"/>
                <w:szCs w:val="18"/>
                <w:u w:val="none"/>
              </w:rPr>
            </w:pPr>
          </w:p>
        </w:tc>
      </w:tr>
      <w:tr w14:paraId="32413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F07434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8E2B1BA">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418C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CE67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维护生态平衡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8D21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DEE4EF5">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EA52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65E3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29F101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6D3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C9DB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BBFD7E8">
            <w:pPr>
              <w:jc w:val="center"/>
              <w:rPr>
                <w:rFonts w:hint="eastAsia" w:ascii="宋体" w:hAnsi="宋体" w:eastAsia="宋体" w:cs="宋体"/>
                <w:i w:val="0"/>
                <w:iCs w:val="0"/>
                <w:color w:val="000000"/>
                <w:sz w:val="18"/>
                <w:szCs w:val="18"/>
                <w:u w:val="none"/>
              </w:rPr>
            </w:pPr>
          </w:p>
        </w:tc>
      </w:tr>
      <w:tr w14:paraId="181CD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4442643">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417BBEB">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4C47E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DE9A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持续为引进人才服务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F8B6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D764C0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DDD3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8230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454375">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A019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328C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F99864F">
            <w:pPr>
              <w:jc w:val="center"/>
              <w:rPr>
                <w:rFonts w:hint="eastAsia" w:ascii="宋体" w:hAnsi="宋体" w:eastAsia="宋体" w:cs="宋体"/>
                <w:i w:val="0"/>
                <w:iCs w:val="0"/>
                <w:color w:val="000000"/>
                <w:sz w:val="18"/>
                <w:szCs w:val="18"/>
                <w:u w:val="none"/>
              </w:rPr>
            </w:pPr>
          </w:p>
        </w:tc>
      </w:tr>
      <w:tr w14:paraId="4CF73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5FF4C9D">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2CBA1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4B03D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BA0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引进人才满意度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D15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B1D0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CCA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EEE46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178F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BF38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CC62AC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9AFC2F4">
            <w:pPr>
              <w:jc w:val="center"/>
              <w:rPr>
                <w:rFonts w:hint="eastAsia" w:ascii="宋体" w:hAnsi="宋体" w:eastAsia="宋体" w:cs="宋体"/>
                <w:i w:val="0"/>
                <w:iCs w:val="0"/>
                <w:color w:val="000000"/>
                <w:sz w:val="18"/>
                <w:szCs w:val="18"/>
                <w:u w:val="none"/>
              </w:rPr>
            </w:pPr>
          </w:p>
        </w:tc>
      </w:tr>
      <w:tr w14:paraId="02CC0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A011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3A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E278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F03B">
            <w:pPr>
              <w:jc w:val="center"/>
              <w:rPr>
                <w:rFonts w:hint="eastAsia" w:ascii="宋体" w:hAnsi="宋体" w:eastAsia="宋体" w:cs="宋体"/>
                <w:i w:val="0"/>
                <w:iCs w:val="0"/>
                <w:color w:val="000000"/>
                <w:sz w:val="18"/>
                <w:szCs w:val="18"/>
                <w:u w:val="none"/>
              </w:rPr>
            </w:pPr>
          </w:p>
        </w:tc>
      </w:tr>
    </w:tbl>
    <w:p w14:paraId="2BDEE2CB">
      <w:pPr>
        <w:widowControl/>
        <w:numPr>
          <w:ilvl w:val="0"/>
          <w:numId w:val="0"/>
        </w:numPr>
        <w:spacing w:before="240" w:after="240"/>
        <w:ind w:firstLine="640" w:firstLineChars="200"/>
        <w:rPr>
          <w:rFonts w:hint="eastAsia" w:ascii="仿宋" w:hAnsi="仿宋" w:eastAsia="仿宋" w:cs="仿宋"/>
          <w:kern w:val="0"/>
          <w:sz w:val="32"/>
          <w:szCs w:val="32"/>
        </w:rPr>
      </w:pPr>
      <w:r>
        <w:rPr>
          <w:rFonts w:hint="eastAsia" w:ascii="仿宋_GB2312" w:hAnsi="仿宋_GB2312" w:eastAsia="仿宋_GB2312" w:cs="仿宋_GB2312"/>
          <w:bCs/>
          <w:kern w:val="2"/>
          <w:sz w:val="32"/>
          <w:szCs w:val="32"/>
          <w:lang w:val="en-US" w:eastAsia="zh-CN" w:bidi="ar-SA"/>
        </w:rPr>
        <w:t>5.基本公共卫生服务精神卫生防治项目</w:t>
      </w:r>
      <w:r>
        <w:rPr>
          <w:rFonts w:hint="eastAsia" w:ascii="仿宋" w:hAnsi="仿宋" w:eastAsia="仿宋" w:cs="仿宋"/>
          <w:kern w:val="0"/>
          <w:sz w:val="32"/>
          <w:szCs w:val="32"/>
        </w:rPr>
        <w:t>自评综述：根据年初设定的绩效目标，项目自评得分</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分。全年预算数为</w:t>
      </w:r>
      <w:r>
        <w:rPr>
          <w:rFonts w:hint="eastAsia" w:ascii="仿宋" w:hAnsi="仿宋" w:eastAsia="仿宋" w:cs="仿宋"/>
          <w:kern w:val="0"/>
          <w:sz w:val="32"/>
          <w:szCs w:val="32"/>
          <w:u w:val="single"/>
          <w:lang w:val="en-US" w:eastAsia="zh-CN"/>
        </w:rPr>
        <w:t xml:space="preserve"> 6.5 </w:t>
      </w:r>
      <w:r>
        <w:rPr>
          <w:rFonts w:hint="eastAsia" w:ascii="仿宋" w:hAnsi="仿宋" w:eastAsia="仿宋" w:cs="仿宋"/>
          <w:kern w:val="0"/>
          <w:sz w:val="32"/>
          <w:szCs w:val="32"/>
        </w:rPr>
        <w:t>万元，执行数为</w:t>
      </w:r>
      <w:r>
        <w:rPr>
          <w:rFonts w:hint="eastAsia" w:ascii="仿宋" w:hAnsi="仿宋" w:eastAsia="仿宋" w:cs="仿宋"/>
          <w:kern w:val="0"/>
          <w:sz w:val="32"/>
          <w:szCs w:val="32"/>
          <w:u w:val="single"/>
          <w:lang w:val="en-US" w:eastAsia="zh-CN"/>
        </w:rPr>
        <w:t xml:space="preserve"> 6.5 </w:t>
      </w:r>
      <w:r>
        <w:rPr>
          <w:rFonts w:hint="eastAsia" w:ascii="仿宋" w:hAnsi="仿宋" w:eastAsia="仿宋" w:cs="仿宋"/>
          <w:kern w:val="0"/>
          <w:sz w:val="32"/>
          <w:szCs w:val="32"/>
        </w:rPr>
        <w:t>万元，完成预算的</w:t>
      </w:r>
      <w:r>
        <w:rPr>
          <w:rFonts w:hint="eastAsia" w:ascii="仿宋" w:hAnsi="仿宋" w:eastAsia="仿宋" w:cs="仿宋"/>
          <w:kern w:val="0"/>
          <w:sz w:val="32"/>
          <w:szCs w:val="32"/>
          <w:u w:val="single"/>
          <w:lang w:val="en-US" w:eastAsia="zh-CN"/>
        </w:rPr>
        <w:t>100</w:t>
      </w:r>
      <w:r>
        <w:rPr>
          <w:rFonts w:hint="eastAsia" w:ascii="仿宋" w:hAnsi="仿宋" w:eastAsia="仿宋" w:cs="仿宋"/>
          <w:kern w:val="0"/>
          <w:sz w:val="32"/>
          <w:szCs w:val="32"/>
        </w:rPr>
        <w:t>%。项目绩效目标完成情况： 根据鄂旗卫健发〔2024〕219号《鄂托克旗卫生健康委员会关于拨付2024年中央重大公共卫生服务补助资金的通知》，《鄂尔多斯市财政局鄂尔多斯市卫生健康委员会关于下达2024年中央重大公共卫生服务补助资金的通知》(鄂财社指〔2024〕629号)文件精神，财政拨付精神卫生防治经费6.5万元。为棋盘井镇区心理卫生防卫等工作提供一定保障。我单位根据相关文件要求，确保转款专用，将基本公共卫生服务精神卫生防治项目资金用于支付心理健康咨询科室相关耗材及设备支出，合理安排财政拨付资金，确保花钱必问效，无效必问责机制，统筹结合，确保使用出资金应有价值。</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872"/>
        <w:gridCol w:w="868"/>
        <w:gridCol w:w="804"/>
        <w:gridCol w:w="804"/>
        <w:gridCol w:w="808"/>
        <w:gridCol w:w="806"/>
        <w:gridCol w:w="804"/>
        <w:gridCol w:w="809"/>
        <w:gridCol w:w="805"/>
        <w:gridCol w:w="835"/>
        <w:gridCol w:w="873"/>
      </w:tblGrid>
      <w:tr w14:paraId="75467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5993641">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0683C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4D28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E7C2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基本公共卫生服务精神卫生防治项目</w:t>
            </w:r>
          </w:p>
        </w:tc>
      </w:tr>
      <w:tr w14:paraId="1524D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1606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75A6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鄂托克旗卫生健康委员会（部门）</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1005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86EF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鄂托克旗第二人民医院</w:t>
            </w:r>
          </w:p>
        </w:tc>
      </w:tr>
      <w:tr w14:paraId="0D522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0C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D3023">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37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10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1F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A3E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47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04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7ACED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E7B42">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A3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418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22FB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EF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6.50 </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D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1277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E8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664E6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895B0">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7A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563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FA4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051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394F2">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D4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F5C3">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1A1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BFBAB">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11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66C58">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34F59">
            <w:pPr>
              <w:jc w:val="center"/>
              <w:rPr>
                <w:rFonts w:hint="eastAsia" w:ascii="宋体" w:hAnsi="宋体" w:eastAsia="宋体" w:cs="宋体"/>
                <w:i w:val="0"/>
                <w:iCs w:val="0"/>
                <w:color w:val="000000"/>
                <w:sz w:val="18"/>
                <w:szCs w:val="18"/>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7493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85B4E">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CAEB1">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DDBFE">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3E0E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E8554">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2A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5D2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AC7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6AA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84DC">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1D8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43431">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42DF4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06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C1C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C9A0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635A7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74EE8">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55F9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鄂旗卫健发〔2024〕219号《鄂托克旗卫生健康委员会关于拨付2024年中央重大公共卫生服务补助资金的通知》，《鄂尔多斯市财政局鄂尔多斯市卫生健康委员会关于下达2024年中央重大公共卫生服务补助资金的通知》(鄂财社指〔2024〕629号)文件精神，拨付精神卫生防治经费6.5万元。</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C8C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根据鄂旗卫健发〔2024〕219号《鄂托克旗卫生健康委员会关于拨付2024年中央重大公共卫生服务补助资金的通知》，《鄂尔多斯市财政局鄂尔多斯市卫生健康委员会关于下达2024年中央重大公共卫生服务补助资金的通知》(鄂财社指〔2024〕629号)文件精神，财政拨付精神卫生防治经费6.5万元。为棋盘井镇区心理卫生防卫等工作提供一定保障。我单位根据相关文件要求，确保转款专用，将基本公共卫生服务精神卫生防治项目资金用于支付心理健康咨询科室相关耗材及设备支出，合理安排财政拨付资金，确保花钱必问效，无效必问责机制，统筹结合，确保使用出资金应有价值。</w:t>
            </w:r>
          </w:p>
        </w:tc>
      </w:tr>
      <w:tr w14:paraId="3DCD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5B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CD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3D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6F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44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FC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731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8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8E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2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FA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476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23B9E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0134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14:paraId="430C9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04FE0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A213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心理咨询室建设</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03DC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B1C9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70A88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E7D4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03032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D590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9066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BA8FC67">
            <w:pPr>
              <w:jc w:val="center"/>
              <w:rPr>
                <w:rFonts w:hint="eastAsia" w:ascii="宋体" w:hAnsi="宋体" w:eastAsia="宋体" w:cs="宋体"/>
                <w:i w:val="0"/>
                <w:iCs w:val="0"/>
                <w:color w:val="000000"/>
                <w:sz w:val="18"/>
                <w:szCs w:val="18"/>
                <w:u w:val="none"/>
              </w:rPr>
            </w:pPr>
          </w:p>
        </w:tc>
      </w:tr>
      <w:tr w14:paraId="07606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3766181">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6BBFC3B7">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5714D7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5D23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心理专用设备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BD73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47007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C361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741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764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249D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17BD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D88E6F1">
            <w:pPr>
              <w:jc w:val="center"/>
              <w:rPr>
                <w:rFonts w:hint="eastAsia" w:ascii="宋体" w:hAnsi="宋体" w:eastAsia="宋体" w:cs="宋体"/>
                <w:i w:val="0"/>
                <w:iCs w:val="0"/>
                <w:color w:val="000000"/>
                <w:sz w:val="18"/>
                <w:szCs w:val="18"/>
                <w:u w:val="none"/>
              </w:rPr>
            </w:pPr>
          </w:p>
        </w:tc>
      </w:tr>
      <w:tr w14:paraId="29236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3BC8738">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47E91FCD">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73BF5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BA35A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心理咨询室建设合格率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D203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F3DF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D116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35DB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FB65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2394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41FE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C810D05">
            <w:pPr>
              <w:jc w:val="center"/>
              <w:rPr>
                <w:rFonts w:hint="eastAsia" w:ascii="宋体" w:hAnsi="宋体" w:eastAsia="宋体" w:cs="宋体"/>
                <w:i w:val="0"/>
                <w:iCs w:val="0"/>
                <w:color w:val="000000"/>
                <w:sz w:val="18"/>
                <w:szCs w:val="18"/>
                <w:u w:val="none"/>
              </w:rPr>
            </w:pPr>
          </w:p>
        </w:tc>
      </w:tr>
      <w:tr w14:paraId="4115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5EA0C10">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4C07E11E">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5F7D23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A161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设备购置合格率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2B19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D886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22B8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E5A7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D74B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6375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F53C2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4FD1F1F">
            <w:pPr>
              <w:jc w:val="center"/>
              <w:rPr>
                <w:rFonts w:hint="eastAsia" w:ascii="宋体" w:hAnsi="宋体" w:eastAsia="宋体" w:cs="宋体"/>
                <w:i w:val="0"/>
                <w:iCs w:val="0"/>
                <w:color w:val="000000"/>
                <w:sz w:val="18"/>
                <w:szCs w:val="18"/>
                <w:u w:val="none"/>
              </w:rPr>
            </w:pPr>
          </w:p>
        </w:tc>
      </w:tr>
      <w:tr w14:paraId="5E2F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A667DDF">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46128944">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5E7B97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2E16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34E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845D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5D6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BED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644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AC6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B9108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C0779F6">
            <w:pPr>
              <w:jc w:val="center"/>
              <w:rPr>
                <w:rFonts w:hint="eastAsia" w:ascii="宋体" w:hAnsi="宋体" w:eastAsia="宋体" w:cs="宋体"/>
                <w:i w:val="0"/>
                <w:iCs w:val="0"/>
                <w:color w:val="000000"/>
                <w:sz w:val="18"/>
                <w:szCs w:val="18"/>
                <w:u w:val="none"/>
              </w:rPr>
            </w:pPr>
          </w:p>
        </w:tc>
      </w:tr>
      <w:tr w14:paraId="02D87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AD3E416">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7F0830E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AE8764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687E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时效指标完成率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E22C7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8DFB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8590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BC9CD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A2B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8EB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1334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2498D03">
            <w:pPr>
              <w:jc w:val="center"/>
              <w:rPr>
                <w:rFonts w:hint="eastAsia" w:ascii="宋体" w:hAnsi="宋体" w:eastAsia="宋体" w:cs="宋体"/>
                <w:i w:val="0"/>
                <w:iCs w:val="0"/>
                <w:color w:val="000000"/>
                <w:sz w:val="18"/>
                <w:szCs w:val="18"/>
                <w:u w:val="none"/>
              </w:rPr>
            </w:pPr>
          </w:p>
        </w:tc>
      </w:tr>
      <w:tr w14:paraId="14385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0BA9D07">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45E92543">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2031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A63E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心理咨询室建设资金</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7812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D59E2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C4505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2AE2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BDA4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A0AE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0A22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AF5FFD7">
            <w:pPr>
              <w:jc w:val="center"/>
              <w:rPr>
                <w:rFonts w:hint="eastAsia" w:ascii="宋体" w:hAnsi="宋体" w:eastAsia="宋体" w:cs="宋体"/>
                <w:i w:val="0"/>
                <w:iCs w:val="0"/>
                <w:color w:val="000000"/>
                <w:sz w:val="18"/>
                <w:szCs w:val="18"/>
                <w:u w:val="none"/>
              </w:rPr>
            </w:pPr>
          </w:p>
        </w:tc>
      </w:tr>
      <w:tr w14:paraId="085E2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63C3D4D">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7BE14F65">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10630F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B2844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27D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F8B9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C88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E3EE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F6AFD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94CA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6837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5FE8FBB">
            <w:pPr>
              <w:jc w:val="center"/>
              <w:rPr>
                <w:rFonts w:hint="eastAsia" w:ascii="宋体" w:hAnsi="宋体" w:eastAsia="宋体" w:cs="宋体"/>
                <w:i w:val="0"/>
                <w:iCs w:val="0"/>
                <w:color w:val="000000"/>
                <w:sz w:val="18"/>
                <w:szCs w:val="18"/>
                <w:u w:val="none"/>
              </w:rPr>
            </w:pPr>
          </w:p>
        </w:tc>
      </w:tr>
      <w:tr w14:paraId="1D5F9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B44A130">
            <w:pPr>
              <w:jc w:val="center"/>
              <w:rPr>
                <w:rFonts w:hint="eastAsia" w:ascii="宋体" w:hAnsi="宋体" w:eastAsia="宋体" w:cs="宋体"/>
                <w:i w:val="0"/>
                <w:iCs w:val="0"/>
                <w:color w:val="000000"/>
                <w:sz w:val="18"/>
                <w:szCs w:val="18"/>
                <w:u w:val="none"/>
              </w:rPr>
            </w:pP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14:paraId="2F9CF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7BFD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04C2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带动地区经济发展</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642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BDC27F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16F6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52EA0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C01199">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6F072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2EEE5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90ECD07">
            <w:pPr>
              <w:jc w:val="center"/>
              <w:rPr>
                <w:rFonts w:hint="eastAsia" w:ascii="宋体" w:hAnsi="宋体" w:eastAsia="宋体" w:cs="宋体"/>
                <w:i w:val="0"/>
                <w:iCs w:val="0"/>
                <w:color w:val="000000"/>
                <w:sz w:val="18"/>
                <w:szCs w:val="18"/>
                <w:u w:val="none"/>
              </w:rPr>
            </w:pPr>
          </w:p>
        </w:tc>
      </w:tr>
      <w:tr w14:paraId="581FC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330C428">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5469DF0D">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53D0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455BB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提高当地心理测评工作质量</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DC53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8C2C1AA">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01AD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090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5CE57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6E1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A3F52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CE3D54A">
            <w:pPr>
              <w:jc w:val="center"/>
              <w:rPr>
                <w:rFonts w:hint="eastAsia" w:ascii="宋体" w:hAnsi="宋体" w:eastAsia="宋体" w:cs="宋体"/>
                <w:i w:val="0"/>
                <w:iCs w:val="0"/>
                <w:color w:val="000000"/>
                <w:sz w:val="18"/>
                <w:szCs w:val="18"/>
                <w:u w:val="none"/>
              </w:rPr>
            </w:pPr>
          </w:p>
        </w:tc>
      </w:tr>
      <w:tr w14:paraId="5B30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6FA5B67">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2D70D5FC">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7AAAB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D12F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维护生态平衡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39B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18A48D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E1BF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B3C9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307EE67">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C18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9842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1086ABA">
            <w:pPr>
              <w:jc w:val="center"/>
              <w:rPr>
                <w:rFonts w:hint="eastAsia" w:ascii="宋体" w:hAnsi="宋体" w:eastAsia="宋体" w:cs="宋体"/>
                <w:i w:val="0"/>
                <w:iCs w:val="0"/>
                <w:color w:val="000000"/>
                <w:sz w:val="18"/>
                <w:szCs w:val="18"/>
                <w:u w:val="none"/>
              </w:rPr>
            </w:pPr>
          </w:p>
        </w:tc>
      </w:tr>
      <w:tr w14:paraId="3476B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DA781EC">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07E56C9D">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729B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1DC6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持续为镇区居民服务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2EBB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EFBCDC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2044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AA96F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73801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5EBF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98E4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446F74F">
            <w:pPr>
              <w:jc w:val="center"/>
              <w:rPr>
                <w:rFonts w:hint="eastAsia" w:ascii="宋体" w:hAnsi="宋体" w:eastAsia="宋体" w:cs="宋体"/>
                <w:i w:val="0"/>
                <w:iCs w:val="0"/>
                <w:color w:val="000000"/>
                <w:sz w:val="18"/>
                <w:szCs w:val="18"/>
                <w:u w:val="none"/>
              </w:rPr>
            </w:pPr>
          </w:p>
        </w:tc>
      </w:tr>
      <w:tr w14:paraId="7DCE2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0E31AA4">
            <w:pPr>
              <w:jc w:val="center"/>
              <w:rPr>
                <w:rFonts w:hint="eastAsia" w:ascii="宋体" w:hAnsi="宋体" w:eastAsia="宋体" w:cs="宋体"/>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vAlign w:val="center"/>
          </w:tcPr>
          <w:p w14:paraId="19C95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E769C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97DF2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患者及工作人员满意度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47A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27BC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7D7FC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6034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3AC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3937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93A3AD8">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C12C181">
            <w:pPr>
              <w:jc w:val="center"/>
              <w:rPr>
                <w:rFonts w:hint="eastAsia" w:ascii="宋体" w:hAnsi="宋体" w:eastAsia="宋体" w:cs="宋体"/>
                <w:i w:val="0"/>
                <w:iCs w:val="0"/>
                <w:color w:val="000000"/>
                <w:sz w:val="18"/>
                <w:szCs w:val="18"/>
                <w:u w:val="none"/>
              </w:rPr>
            </w:pPr>
          </w:p>
        </w:tc>
      </w:tr>
      <w:tr w14:paraId="7D231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1DD4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E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99C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D2BA6">
            <w:pPr>
              <w:jc w:val="center"/>
              <w:rPr>
                <w:rFonts w:hint="eastAsia" w:ascii="宋体" w:hAnsi="宋体" w:eastAsia="宋体" w:cs="宋体"/>
                <w:i w:val="0"/>
                <w:iCs w:val="0"/>
                <w:color w:val="000000"/>
                <w:sz w:val="18"/>
                <w:szCs w:val="18"/>
                <w:u w:val="none"/>
              </w:rPr>
            </w:pPr>
          </w:p>
        </w:tc>
      </w:tr>
    </w:tbl>
    <w:p w14:paraId="3EA601A8">
      <w:pPr>
        <w:widowControl/>
        <w:spacing w:before="240" w:after="240"/>
        <w:ind w:firstLine="540" w:firstLineChars="20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（三）部门（单位）项目绩效评价结果。</w:t>
      </w:r>
    </w:p>
    <w:p w14:paraId="134955FE">
      <w:pPr>
        <w:widowControl/>
        <w:spacing w:before="240" w:after="240"/>
        <w:jc w:val="left"/>
        <w:rPr>
          <w:rFonts w:ascii="Times New Roman" w:hAnsi="Times New Roman" w:eastAsia="Times New Roman" w:cs="Times New Roman"/>
          <w:kern w:val="0"/>
          <w:sz w:val="24"/>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本单位本年不涉及部门重点绩效评价工作。</w:t>
      </w:r>
    </w:p>
    <w:p w14:paraId="01AE0E7F">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14:paraId="44625456">
      <w:pPr>
        <w:widowControl/>
        <w:spacing w:before="240" w:after="240"/>
        <w:jc w:val="left"/>
        <w:rPr>
          <w:rFonts w:hint="eastAsia" w:ascii="仿宋" w:hAnsi="仿宋" w:eastAsia="仿宋" w:cs="仿宋"/>
          <w:b w:val="0"/>
          <w:bCs w:val="0"/>
          <w:kern w:val="0"/>
          <w:sz w:val="32"/>
          <w:szCs w:val="32"/>
        </w:rPr>
      </w:pPr>
      <w:r>
        <w:rPr>
          <w:rFonts w:ascii="fang_song_gb2312" w:hAnsi="fang_song_gb2312" w:eastAsia="fang_song_gb2312" w:cs="fang_song_gb2312"/>
          <w:b/>
          <w:bCs/>
          <w:kern w:val="0"/>
          <w:sz w:val="27"/>
          <w:szCs w:val="27"/>
        </w:rPr>
        <w:t xml:space="preserve">  </w:t>
      </w:r>
      <w:r>
        <w:rPr>
          <w:rFonts w:hint="eastAsia" w:ascii="仿宋" w:hAnsi="仿宋" w:eastAsia="仿宋" w:cs="仿宋"/>
          <w:b w:val="0"/>
          <w:bCs w:val="0"/>
          <w:kern w:val="0"/>
          <w:sz w:val="32"/>
          <w:szCs w:val="32"/>
        </w:rPr>
        <w:t>  一、财政拨款收入：从同级财政部门取得的各类财政拨款，包括一般公共预算财政拨款、政府性基金预算财政拨款、国有资本经营预算财政拨款。</w:t>
      </w:r>
    </w:p>
    <w:p w14:paraId="1B5B127A">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二、上级补助收入：指事业单位从主管部门和上级单位取得的非财政补助收入。</w:t>
      </w:r>
    </w:p>
    <w:p w14:paraId="7ED7E64B">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三、财政专户管理教育收费：指缴入财政专户、实行专项管理的高中以上学费、住宿费、高校委托培养费、函大、电大、夜大及短训班培训费等教育收费。</w:t>
      </w:r>
    </w:p>
    <w:p w14:paraId="1743D463">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四、事业收入：指事业单位开展专业业务活动及其辅助活动取得的收入。</w:t>
      </w:r>
    </w:p>
    <w:p w14:paraId="3C592C63">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五、经营收入：指事业单位在专业业务活动及其辅助活动之外开展非独立核算经营活动取得的收入。</w:t>
      </w:r>
    </w:p>
    <w:p w14:paraId="46C4A797">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六、附属单位上缴收入：指事业单位取得附属独立核算单位按照有关规定上缴的收入。</w:t>
      </w:r>
    </w:p>
    <w:p w14:paraId="7B1DAA39">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七、其他收入：取得的除上述“财政拨款收入”、“上级补助收入”、“事业收入”、“经营收入”、“附属单位上缴收入”等以外的各项收入。</w:t>
      </w:r>
    </w:p>
    <w:p w14:paraId="46BA1DC4">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八、使用非财政拨款结余和专用结余：指事业单位按照预算管理要求使用非财政拨款结余和专用结余弥补当年收支差额的数额。</w:t>
      </w:r>
    </w:p>
    <w:p w14:paraId="62CD83D2">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九、年初结转和结余：指单位上年结转本年使用的基本支出结转、项目支出结转和结余、经营结余。</w:t>
      </w:r>
    </w:p>
    <w:p w14:paraId="76AD78C0">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十、结余分配：指事业单位按规定缴纳企业所得税以及从非财政拨款结余或经营结余中提取各类结余的情况。</w:t>
      </w:r>
    </w:p>
    <w:p w14:paraId="146EB380">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十一、年末结转和结余资金：指单位结转下年的基本支出结转、项目支出结转和结余、经营结余。</w:t>
      </w:r>
    </w:p>
    <w:p w14:paraId="237C18D6">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十二、基本支出：指为保障机构正常运转、完成日常工作任务所发生的支出，包括人员经费和公用经费。</w:t>
      </w:r>
    </w:p>
    <w:p w14:paraId="3610DE08">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十三、项目支出：指在为完成特定的工作任务和事业发展目标所发生的支出。</w:t>
      </w:r>
    </w:p>
    <w:p w14:paraId="39D85169">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十四、上缴上级支出：指事业单位按照财政部门和主管部门的规定上缴上级单位的支出。</w:t>
      </w:r>
    </w:p>
    <w:p w14:paraId="45872EA4">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十五、经营支出：指事业单位在专业业务活动及其辅助活动之外开展非独立核算经营活动发生的支出。</w:t>
      </w:r>
    </w:p>
    <w:p w14:paraId="5DAE1D97">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十六、对附属单位补助支出：指事业单位用财政拨款收入之外的收入对附属单位补助发生的支出。</w:t>
      </w:r>
    </w:p>
    <w:p w14:paraId="15FB30FF">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七、“三公”经费：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101FFFC1">
      <w:pPr>
        <w:widowControl/>
        <w:spacing w:before="240" w:after="24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十八、机构运行经费：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4AFB37F7">
      <w:pPr>
        <w:widowControl/>
        <w:spacing w:before="240" w:after="240"/>
        <w:jc w:val="left"/>
        <w:rPr>
          <w:rFonts w:ascii="Times New Roman" w:hAnsi="Times New Roman" w:eastAsia="Times New Roman" w:cs="Times New Roman"/>
          <w:kern w:val="0"/>
          <w:sz w:val="24"/>
        </w:rPr>
      </w:pPr>
    </w:p>
    <w:p w14:paraId="5520202E">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14:paraId="4604076B">
      <w:pPr>
        <w:widowControl/>
        <w:spacing w:before="240" w:after="240"/>
        <w:jc w:val="left"/>
        <w:rPr>
          <w:rFonts w:ascii="Times New Roman" w:hAnsi="Times New Roman" w:eastAsia="Times New Roman" w:cs="Times New Roman"/>
          <w:kern w:val="0"/>
          <w:sz w:val="24"/>
        </w:rPr>
      </w:pPr>
    </w:p>
    <w:p w14:paraId="361A97D1">
      <w:pPr>
        <w:widowControl/>
        <w:spacing w:before="240" w:after="240"/>
        <w:jc w:val="left"/>
        <w:rPr>
          <w:rFonts w:hint="eastAsia" w:ascii="仿宋" w:hAnsi="仿宋" w:eastAsia="仿宋" w:cs="仿宋"/>
          <w:kern w:val="0"/>
          <w:sz w:val="32"/>
          <w:szCs w:val="32"/>
        </w:rPr>
      </w:pPr>
      <w:r>
        <w:rPr>
          <w:rFonts w:hint="eastAsia" w:ascii="仿宋" w:hAnsi="仿宋" w:eastAsia="仿宋" w:cs="仿宋"/>
          <w:kern w:val="0"/>
          <w:sz w:val="32"/>
          <w:szCs w:val="32"/>
        </w:rPr>
        <w:t>    本单位决算公开信息反馈和联系方式：</w:t>
      </w:r>
    </w:p>
    <w:p w14:paraId="2F51A36D">
      <w:pPr>
        <w:widowControl/>
        <w:spacing w:before="240" w:after="240"/>
        <w:jc w:val="left"/>
        <w:rPr>
          <w:rFonts w:hint="eastAsia" w:ascii="仿宋" w:hAnsi="仿宋" w:eastAsia="仿宋" w:cs="仿宋"/>
          <w:kern w:val="0"/>
          <w:sz w:val="32"/>
          <w:szCs w:val="32"/>
        </w:rPr>
      </w:pPr>
      <w:r>
        <w:rPr>
          <w:rFonts w:hint="eastAsia" w:ascii="仿宋" w:hAnsi="仿宋" w:eastAsia="仿宋" w:cs="仿宋"/>
          <w:kern w:val="0"/>
          <w:sz w:val="32"/>
          <w:szCs w:val="32"/>
        </w:rPr>
        <w:t>    联系人：</w:t>
      </w:r>
      <w:r>
        <w:rPr>
          <w:rFonts w:hint="eastAsia" w:ascii="仿宋" w:hAnsi="仿宋" w:eastAsia="仿宋" w:cs="仿宋"/>
          <w:kern w:val="0"/>
          <w:sz w:val="32"/>
          <w:szCs w:val="32"/>
          <w:u w:val="single"/>
        </w:rPr>
        <w:t xml:space="preserve">王琳琳 </w:t>
      </w:r>
      <w:r>
        <w:rPr>
          <w:rFonts w:hint="eastAsia" w:ascii="仿宋" w:hAnsi="仿宋" w:eastAsia="仿宋" w:cs="仿宋"/>
          <w:kern w:val="0"/>
          <w:sz w:val="32"/>
          <w:szCs w:val="32"/>
        </w:rPr>
        <w:t>          联系电话：0477-6485901</w:t>
      </w:r>
    </w:p>
    <w:p w14:paraId="730A554B">
      <w:pPr>
        <w:widowControl/>
        <w:spacing w:before="240" w:after="240"/>
        <w:jc w:val="left"/>
        <w:rPr>
          <w:rFonts w:ascii="Times New Roman" w:hAnsi="Times New Roman" w:eastAsia="Times New Roman" w:cs="Times New Roman"/>
          <w:kern w:val="0"/>
          <w:sz w:val="24"/>
        </w:rPr>
      </w:pPr>
    </w:p>
    <w:p w14:paraId="46EA1C0A">
      <w:pPr>
        <w:widowControl/>
        <w:spacing w:before="240" w:after="240"/>
        <w:jc w:val="left"/>
        <w:rPr>
          <w:rFonts w:ascii="Times New Roman" w:hAnsi="Times New Roman" w:eastAsia="Times New Roman" w:cs="Times New Roman"/>
          <w:kern w:val="0"/>
          <w:sz w:val="24"/>
        </w:rPr>
      </w:pPr>
    </w:p>
    <w:p w14:paraId="643547DE">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kern w:val="0"/>
          <w:sz w:val="36"/>
          <w:szCs w:val="36"/>
        </w:rPr>
        <w:t>第五部分 部门（单位）决算表</w:t>
      </w:r>
    </w:p>
    <w:bookmarkEnd w:id="0"/>
    <w:p w14:paraId="19448D1F">
      <w:pPr>
        <w:widowControl/>
        <w:spacing w:before="240" w:after="240"/>
        <w:ind w:firstLine="960" w:firstLineChars="3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见附件。</w:t>
      </w: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ang_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zheng_xiao_biao_song_ti">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E54D3">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134">
    <w:pPr>
      <w:pStyle w:val="12"/>
      <w:jc w:val="center"/>
    </w:pPr>
    <w:r>
      <w:fldChar w:fldCharType="begin"/>
    </w:r>
    <w:r>
      <w:instrText xml:space="preserve"> PAGE   \* MERGEFORMAT </w:instrText>
    </w:r>
    <w:r>
      <w:fldChar w:fldCharType="separate"/>
    </w:r>
    <w:r>
      <w:rPr>
        <w:lang w:val="zh-CN"/>
      </w:rPr>
      <w:t>24</w:t>
    </w:r>
    <w:r>
      <w:rPr>
        <w:lang w:val="zh-CN"/>
      </w:rPr>
      <w:fldChar w:fldCharType="end"/>
    </w:r>
  </w:p>
  <w:p w14:paraId="2E0A912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10FCA1"/>
    <w:multiLevelType w:val="singleLevel"/>
    <w:tmpl w:val="BE10FCA1"/>
    <w:lvl w:ilvl="0" w:tentative="0">
      <w:start w:val="2"/>
      <w:numFmt w:val="chineseCounting"/>
      <w:suff w:val="nothing"/>
      <w:lvlText w:val="%1、"/>
      <w:lvlJc w:val="left"/>
      <w:pPr>
        <w:ind w:left="393" w:leftChars="0" w:firstLine="0" w:firstLineChars="0"/>
      </w:pPr>
      <w:rPr>
        <w:rFonts w:hint="eastAsia"/>
      </w:rPr>
    </w:lvl>
  </w:abstractNum>
  <w:abstractNum w:abstractNumId="1">
    <w:nsid w:val="490C14C0"/>
    <w:multiLevelType w:val="singleLevel"/>
    <w:tmpl w:val="490C14C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0OWUwZmEyMDIyZjUxOGJiMjAwOTM5MzYzZTRjMTg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4110B"/>
    <w:rsid w:val="00482D36"/>
    <w:rsid w:val="00490629"/>
    <w:rsid w:val="0049507B"/>
    <w:rsid w:val="004A738F"/>
    <w:rsid w:val="004B1589"/>
    <w:rsid w:val="004B721F"/>
    <w:rsid w:val="004D7065"/>
    <w:rsid w:val="004E0B6C"/>
    <w:rsid w:val="005011E1"/>
    <w:rsid w:val="00505A51"/>
    <w:rsid w:val="0051384E"/>
    <w:rsid w:val="00521603"/>
    <w:rsid w:val="00533AF6"/>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C512B"/>
    <w:rsid w:val="009D6904"/>
    <w:rsid w:val="009E1EE8"/>
    <w:rsid w:val="009E227B"/>
    <w:rsid w:val="009E308A"/>
    <w:rsid w:val="009F0536"/>
    <w:rsid w:val="00A147CF"/>
    <w:rsid w:val="00A270BE"/>
    <w:rsid w:val="00A36C1D"/>
    <w:rsid w:val="00A40483"/>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B66D9"/>
    <w:rsid w:val="00EE533B"/>
    <w:rsid w:val="00F04882"/>
    <w:rsid w:val="00F63327"/>
    <w:rsid w:val="00F80A29"/>
    <w:rsid w:val="00FA7CA5"/>
    <w:rsid w:val="00FD08EC"/>
    <w:rsid w:val="00FD7690"/>
    <w:rsid w:val="011473B7"/>
    <w:rsid w:val="012D0479"/>
    <w:rsid w:val="019B269B"/>
    <w:rsid w:val="022625D0"/>
    <w:rsid w:val="024E68F9"/>
    <w:rsid w:val="02836665"/>
    <w:rsid w:val="02A97F53"/>
    <w:rsid w:val="02BD7B8B"/>
    <w:rsid w:val="033B7300"/>
    <w:rsid w:val="035C0329"/>
    <w:rsid w:val="035E1710"/>
    <w:rsid w:val="036C573B"/>
    <w:rsid w:val="03842B44"/>
    <w:rsid w:val="03CD19FA"/>
    <w:rsid w:val="03D05F5B"/>
    <w:rsid w:val="0449319B"/>
    <w:rsid w:val="04944FCB"/>
    <w:rsid w:val="051E6A56"/>
    <w:rsid w:val="05840450"/>
    <w:rsid w:val="05FC798A"/>
    <w:rsid w:val="06881C60"/>
    <w:rsid w:val="06B87977"/>
    <w:rsid w:val="07BE74DF"/>
    <w:rsid w:val="08471E20"/>
    <w:rsid w:val="08A51E48"/>
    <w:rsid w:val="08A92ADB"/>
    <w:rsid w:val="0937554E"/>
    <w:rsid w:val="09A20145"/>
    <w:rsid w:val="09D36CA3"/>
    <w:rsid w:val="0A543BCC"/>
    <w:rsid w:val="0A727C5D"/>
    <w:rsid w:val="0A9B5A85"/>
    <w:rsid w:val="0AB42943"/>
    <w:rsid w:val="0AD2452B"/>
    <w:rsid w:val="0B9428A2"/>
    <w:rsid w:val="0BC87F6C"/>
    <w:rsid w:val="0BD240F7"/>
    <w:rsid w:val="0BE81B6C"/>
    <w:rsid w:val="0BF96599"/>
    <w:rsid w:val="0C507262"/>
    <w:rsid w:val="0C8E44C1"/>
    <w:rsid w:val="0CF307C8"/>
    <w:rsid w:val="0D5507DC"/>
    <w:rsid w:val="0D6B65B1"/>
    <w:rsid w:val="0D70006B"/>
    <w:rsid w:val="0DBD4932"/>
    <w:rsid w:val="0E221584"/>
    <w:rsid w:val="0E304577"/>
    <w:rsid w:val="0E3746E5"/>
    <w:rsid w:val="0EC23ECB"/>
    <w:rsid w:val="0F3F1AA3"/>
    <w:rsid w:val="0F6A2898"/>
    <w:rsid w:val="106C1C7F"/>
    <w:rsid w:val="10776368"/>
    <w:rsid w:val="10A2678D"/>
    <w:rsid w:val="10BD740D"/>
    <w:rsid w:val="11602D5A"/>
    <w:rsid w:val="11752801"/>
    <w:rsid w:val="11C53124"/>
    <w:rsid w:val="12082A6F"/>
    <w:rsid w:val="123A5217"/>
    <w:rsid w:val="126C7EC0"/>
    <w:rsid w:val="13207E3D"/>
    <w:rsid w:val="132F4C2A"/>
    <w:rsid w:val="134D0507"/>
    <w:rsid w:val="13B10A95"/>
    <w:rsid w:val="13F05A49"/>
    <w:rsid w:val="14763079"/>
    <w:rsid w:val="150A5D9D"/>
    <w:rsid w:val="15763D45"/>
    <w:rsid w:val="158B5C43"/>
    <w:rsid w:val="15CF16A7"/>
    <w:rsid w:val="160C0A49"/>
    <w:rsid w:val="161F0345"/>
    <w:rsid w:val="165027E8"/>
    <w:rsid w:val="16826719"/>
    <w:rsid w:val="168B1D1D"/>
    <w:rsid w:val="16932021"/>
    <w:rsid w:val="16D34D7A"/>
    <w:rsid w:val="17125D70"/>
    <w:rsid w:val="17966F3F"/>
    <w:rsid w:val="181157F2"/>
    <w:rsid w:val="18A044D6"/>
    <w:rsid w:val="18C64FE3"/>
    <w:rsid w:val="18C87A43"/>
    <w:rsid w:val="18EE62E8"/>
    <w:rsid w:val="190B1ADE"/>
    <w:rsid w:val="19202945"/>
    <w:rsid w:val="19570331"/>
    <w:rsid w:val="19674179"/>
    <w:rsid w:val="19793E03"/>
    <w:rsid w:val="199158FC"/>
    <w:rsid w:val="19C05DE0"/>
    <w:rsid w:val="19E81E65"/>
    <w:rsid w:val="19EA1169"/>
    <w:rsid w:val="19EC4FBE"/>
    <w:rsid w:val="1A396EB0"/>
    <w:rsid w:val="1A6E5932"/>
    <w:rsid w:val="1A8213DE"/>
    <w:rsid w:val="1AAF4773"/>
    <w:rsid w:val="1AF35E37"/>
    <w:rsid w:val="1B21661A"/>
    <w:rsid w:val="1B893056"/>
    <w:rsid w:val="1BAF5320"/>
    <w:rsid w:val="1BEB104E"/>
    <w:rsid w:val="1BF8721B"/>
    <w:rsid w:val="1C441B25"/>
    <w:rsid w:val="1C4E1577"/>
    <w:rsid w:val="1C682FB2"/>
    <w:rsid w:val="1CE95744"/>
    <w:rsid w:val="1D080E94"/>
    <w:rsid w:val="1D2456DF"/>
    <w:rsid w:val="1D305F43"/>
    <w:rsid w:val="1D5412D8"/>
    <w:rsid w:val="1D7A3B88"/>
    <w:rsid w:val="1DA1618E"/>
    <w:rsid w:val="1DB82F89"/>
    <w:rsid w:val="1DFF2C56"/>
    <w:rsid w:val="1E470086"/>
    <w:rsid w:val="1E5E7A6C"/>
    <w:rsid w:val="1E6C3F37"/>
    <w:rsid w:val="1E972EFC"/>
    <w:rsid w:val="1EF83A1C"/>
    <w:rsid w:val="1F61233D"/>
    <w:rsid w:val="1FB43DE7"/>
    <w:rsid w:val="1FE22B8C"/>
    <w:rsid w:val="202F346E"/>
    <w:rsid w:val="20337402"/>
    <w:rsid w:val="20917C68"/>
    <w:rsid w:val="20A57BD4"/>
    <w:rsid w:val="20E15A18"/>
    <w:rsid w:val="20F465BA"/>
    <w:rsid w:val="20FF72E4"/>
    <w:rsid w:val="211A2370"/>
    <w:rsid w:val="21291ABE"/>
    <w:rsid w:val="21757265"/>
    <w:rsid w:val="21A8797C"/>
    <w:rsid w:val="21F81842"/>
    <w:rsid w:val="220A24D6"/>
    <w:rsid w:val="228D6B72"/>
    <w:rsid w:val="231F6524"/>
    <w:rsid w:val="234C2589"/>
    <w:rsid w:val="23977CA8"/>
    <w:rsid w:val="23A128D5"/>
    <w:rsid w:val="23E17175"/>
    <w:rsid w:val="24460821"/>
    <w:rsid w:val="24545C48"/>
    <w:rsid w:val="247164AE"/>
    <w:rsid w:val="24E8008F"/>
    <w:rsid w:val="26702457"/>
    <w:rsid w:val="2684519B"/>
    <w:rsid w:val="26A23A3D"/>
    <w:rsid w:val="26B02E2F"/>
    <w:rsid w:val="26CA33F7"/>
    <w:rsid w:val="26FB7292"/>
    <w:rsid w:val="27001BFC"/>
    <w:rsid w:val="279A7D67"/>
    <w:rsid w:val="279F4220"/>
    <w:rsid w:val="28054E4E"/>
    <w:rsid w:val="281B69DC"/>
    <w:rsid w:val="282F2496"/>
    <w:rsid w:val="285A00F5"/>
    <w:rsid w:val="28897410"/>
    <w:rsid w:val="29112563"/>
    <w:rsid w:val="2924369A"/>
    <w:rsid w:val="297663FD"/>
    <w:rsid w:val="29A547A1"/>
    <w:rsid w:val="29A54BF3"/>
    <w:rsid w:val="29B35110"/>
    <w:rsid w:val="29B64C00"/>
    <w:rsid w:val="2A273538"/>
    <w:rsid w:val="2A8B04D7"/>
    <w:rsid w:val="2A950493"/>
    <w:rsid w:val="2AAE58D7"/>
    <w:rsid w:val="2AC86999"/>
    <w:rsid w:val="2B0E3A2A"/>
    <w:rsid w:val="2B3836F1"/>
    <w:rsid w:val="2B4D4688"/>
    <w:rsid w:val="2C95125C"/>
    <w:rsid w:val="2CBA3E66"/>
    <w:rsid w:val="2CF33A75"/>
    <w:rsid w:val="2D2F62C9"/>
    <w:rsid w:val="2E007256"/>
    <w:rsid w:val="2E135EE3"/>
    <w:rsid w:val="2F012479"/>
    <w:rsid w:val="2F0C5D31"/>
    <w:rsid w:val="2F22267B"/>
    <w:rsid w:val="2F6A112F"/>
    <w:rsid w:val="301B3A0F"/>
    <w:rsid w:val="30330D58"/>
    <w:rsid w:val="303A1F9A"/>
    <w:rsid w:val="307A268B"/>
    <w:rsid w:val="30CD1A42"/>
    <w:rsid w:val="30DD2A72"/>
    <w:rsid w:val="31083F93"/>
    <w:rsid w:val="319D4F15"/>
    <w:rsid w:val="31D25FD2"/>
    <w:rsid w:val="31E63BA8"/>
    <w:rsid w:val="32607CD9"/>
    <w:rsid w:val="32AB77AF"/>
    <w:rsid w:val="32B82B98"/>
    <w:rsid w:val="3303390F"/>
    <w:rsid w:val="33C55335"/>
    <w:rsid w:val="33FA3E2F"/>
    <w:rsid w:val="341C2CB1"/>
    <w:rsid w:val="34403A44"/>
    <w:rsid w:val="35780FBB"/>
    <w:rsid w:val="35EB1FD3"/>
    <w:rsid w:val="36145188"/>
    <w:rsid w:val="363C3B54"/>
    <w:rsid w:val="36657792"/>
    <w:rsid w:val="37235C54"/>
    <w:rsid w:val="375D6593"/>
    <w:rsid w:val="384E386E"/>
    <w:rsid w:val="389745F6"/>
    <w:rsid w:val="38C14E44"/>
    <w:rsid w:val="39194863"/>
    <w:rsid w:val="39F94DC1"/>
    <w:rsid w:val="3A4E554F"/>
    <w:rsid w:val="3A7206CF"/>
    <w:rsid w:val="3AA357D4"/>
    <w:rsid w:val="3B105C75"/>
    <w:rsid w:val="3BAA159A"/>
    <w:rsid w:val="3BBF61AC"/>
    <w:rsid w:val="3BE23632"/>
    <w:rsid w:val="3C00365F"/>
    <w:rsid w:val="3C0B0DDB"/>
    <w:rsid w:val="3C1354BB"/>
    <w:rsid w:val="3C7414B8"/>
    <w:rsid w:val="3C8E57AD"/>
    <w:rsid w:val="3C905633"/>
    <w:rsid w:val="3D6C7658"/>
    <w:rsid w:val="3D8C157A"/>
    <w:rsid w:val="3DBE3CBE"/>
    <w:rsid w:val="3E612F34"/>
    <w:rsid w:val="3E7964D0"/>
    <w:rsid w:val="3EA55D9E"/>
    <w:rsid w:val="3F5E56C6"/>
    <w:rsid w:val="3FA4132B"/>
    <w:rsid w:val="3FA530A3"/>
    <w:rsid w:val="3FAC6431"/>
    <w:rsid w:val="3FB45881"/>
    <w:rsid w:val="40333C55"/>
    <w:rsid w:val="40532360"/>
    <w:rsid w:val="40826AFA"/>
    <w:rsid w:val="40E506C4"/>
    <w:rsid w:val="41325996"/>
    <w:rsid w:val="416C5E78"/>
    <w:rsid w:val="416D7BDC"/>
    <w:rsid w:val="41BD0A43"/>
    <w:rsid w:val="422624CB"/>
    <w:rsid w:val="422D6B26"/>
    <w:rsid w:val="424433B3"/>
    <w:rsid w:val="42703746"/>
    <w:rsid w:val="43C72C0A"/>
    <w:rsid w:val="43E420A8"/>
    <w:rsid w:val="4426327C"/>
    <w:rsid w:val="44804576"/>
    <w:rsid w:val="44BC4497"/>
    <w:rsid w:val="44CC74BB"/>
    <w:rsid w:val="44FD2B36"/>
    <w:rsid w:val="455C26A8"/>
    <w:rsid w:val="45613BD1"/>
    <w:rsid w:val="457C1C35"/>
    <w:rsid w:val="45ED3300"/>
    <w:rsid w:val="45EE7F79"/>
    <w:rsid w:val="46A42944"/>
    <w:rsid w:val="46A43C59"/>
    <w:rsid w:val="470B7EE1"/>
    <w:rsid w:val="47503F74"/>
    <w:rsid w:val="475F15EE"/>
    <w:rsid w:val="476824EA"/>
    <w:rsid w:val="477069D3"/>
    <w:rsid w:val="47C969B3"/>
    <w:rsid w:val="480F1C53"/>
    <w:rsid w:val="484E6EEF"/>
    <w:rsid w:val="48677399"/>
    <w:rsid w:val="48841AE7"/>
    <w:rsid w:val="48AE006F"/>
    <w:rsid w:val="48BA6D10"/>
    <w:rsid w:val="4929464F"/>
    <w:rsid w:val="493C6A78"/>
    <w:rsid w:val="4A0C2F25"/>
    <w:rsid w:val="4A137725"/>
    <w:rsid w:val="4A8C597A"/>
    <w:rsid w:val="4A92201C"/>
    <w:rsid w:val="4AC42881"/>
    <w:rsid w:val="4AF225DA"/>
    <w:rsid w:val="4AF84C20"/>
    <w:rsid w:val="4B143996"/>
    <w:rsid w:val="4B837148"/>
    <w:rsid w:val="4BBD5522"/>
    <w:rsid w:val="4BEB5AF3"/>
    <w:rsid w:val="4CEC38DE"/>
    <w:rsid w:val="4D58225C"/>
    <w:rsid w:val="4D6054BD"/>
    <w:rsid w:val="4E516B22"/>
    <w:rsid w:val="4E6B62AA"/>
    <w:rsid w:val="4E747F1F"/>
    <w:rsid w:val="4EE51018"/>
    <w:rsid w:val="4F021BCA"/>
    <w:rsid w:val="4F0E0991"/>
    <w:rsid w:val="4F337FD5"/>
    <w:rsid w:val="4F4F21E1"/>
    <w:rsid w:val="4FB70272"/>
    <w:rsid w:val="4FCB6F95"/>
    <w:rsid w:val="500D4CCA"/>
    <w:rsid w:val="5012088D"/>
    <w:rsid w:val="509C7DFC"/>
    <w:rsid w:val="50DB1E2B"/>
    <w:rsid w:val="51714DE5"/>
    <w:rsid w:val="517F7502"/>
    <w:rsid w:val="5180327A"/>
    <w:rsid w:val="5189508F"/>
    <w:rsid w:val="51FC2754"/>
    <w:rsid w:val="51FE50C3"/>
    <w:rsid w:val="52426781"/>
    <w:rsid w:val="52752243"/>
    <w:rsid w:val="527C7EE5"/>
    <w:rsid w:val="52FD2F3A"/>
    <w:rsid w:val="531F44D3"/>
    <w:rsid w:val="53C02053"/>
    <w:rsid w:val="5411307F"/>
    <w:rsid w:val="545F21A9"/>
    <w:rsid w:val="546E011D"/>
    <w:rsid w:val="54D97871"/>
    <w:rsid w:val="55015F17"/>
    <w:rsid w:val="556757E9"/>
    <w:rsid w:val="557D644E"/>
    <w:rsid w:val="561F476D"/>
    <w:rsid w:val="56386BDE"/>
    <w:rsid w:val="565A053D"/>
    <w:rsid w:val="566B62A7"/>
    <w:rsid w:val="56A77D1E"/>
    <w:rsid w:val="56BC6B02"/>
    <w:rsid w:val="56EA18C1"/>
    <w:rsid w:val="57196223"/>
    <w:rsid w:val="573A49B9"/>
    <w:rsid w:val="578515EA"/>
    <w:rsid w:val="58150BC0"/>
    <w:rsid w:val="58325001"/>
    <w:rsid w:val="58A8306A"/>
    <w:rsid w:val="58ED0723"/>
    <w:rsid w:val="591A3440"/>
    <w:rsid w:val="592D39AB"/>
    <w:rsid w:val="59E83C85"/>
    <w:rsid w:val="5A2D57DD"/>
    <w:rsid w:val="5A7932CF"/>
    <w:rsid w:val="5ACC7530"/>
    <w:rsid w:val="5B650D01"/>
    <w:rsid w:val="5B9C5154"/>
    <w:rsid w:val="5BD13050"/>
    <w:rsid w:val="5C1A7192"/>
    <w:rsid w:val="5CA00FD5"/>
    <w:rsid w:val="5CE648D9"/>
    <w:rsid w:val="5D096819"/>
    <w:rsid w:val="5D3256CD"/>
    <w:rsid w:val="5DC9707A"/>
    <w:rsid w:val="5DD12414"/>
    <w:rsid w:val="5E2221F3"/>
    <w:rsid w:val="5E510E7E"/>
    <w:rsid w:val="5EA640E6"/>
    <w:rsid w:val="5EEA306B"/>
    <w:rsid w:val="5F8B1C87"/>
    <w:rsid w:val="5FAA6092"/>
    <w:rsid w:val="5FCE205B"/>
    <w:rsid w:val="5FD17AC2"/>
    <w:rsid w:val="6031230F"/>
    <w:rsid w:val="605424A1"/>
    <w:rsid w:val="60722DD5"/>
    <w:rsid w:val="60BB607C"/>
    <w:rsid w:val="60F03F78"/>
    <w:rsid w:val="60F7491A"/>
    <w:rsid w:val="623E2101"/>
    <w:rsid w:val="62527052"/>
    <w:rsid w:val="627113B5"/>
    <w:rsid w:val="62B30528"/>
    <w:rsid w:val="635060CC"/>
    <w:rsid w:val="64432611"/>
    <w:rsid w:val="6449325C"/>
    <w:rsid w:val="64BB4EFC"/>
    <w:rsid w:val="650765BE"/>
    <w:rsid w:val="652A37D1"/>
    <w:rsid w:val="669E4476"/>
    <w:rsid w:val="67005783"/>
    <w:rsid w:val="67282AC7"/>
    <w:rsid w:val="672A29EE"/>
    <w:rsid w:val="673F164D"/>
    <w:rsid w:val="67424E02"/>
    <w:rsid w:val="67D22629"/>
    <w:rsid w:val="67EB36EB"/>
    <w:rsid w:val="680B78E9"/>
    <w:rsid w:val="682B3AE8"/>
    <w:rsid w:val="6833299C"/>
    <w:rsid w:val="684A4454"/>
    <w:rsid w:val="68D370B4"/>
    <w:rsid w:val="68F05F69"/>
    <w:rsid w:val="691B0000"/>
    <w:rsid w:val="697277E6"/>
    <w:rsid w:val="6A204472"/>
    <w:rsid w:val="6A5B5099"/>
    <w:rsid w:val="6AA521E2"/>
    <w:rsid w:val="6AE42187"/>
    <w:rsid w:val="6B785296"/>
    <w:rsid w:val="6BA66B91"/>
    <w:rsid w:val="6C021003"/>
    <w:rsid w:val="6C2318CD"/>
    <w:rsid w:val="6C285B7D"/>
    <w:rsid w:val="6C5A30D4"/>
    <w:rsid w:val="6C7873C7"/>
    <w:rsid w:val="6CB26F15"/>
    <w:rsid w:val="6CBC69F9"/>
    <w:rsid w:val="6D12171A"/>
    <w:rsid w:val="6D1B4127"/>
    <w:rsid w:val="6DB12E5A"/>
    <w:rsid w:val="6E112B79"/>
    <w:rsid w:val="6EA879B4"/>
    <w:rsid w:val="6EAE7899"/>
    <w:rsid w:val="6ED8604B"/>
    <w:rsid w:val="6F1B58A3"/>
    <w:rsid w:val="6F482B8A"/>
    <w:rsid w:val="6F9205FC"/>
    <w:rsid w:val="6FA45CAA"/>
    <w:rsid w:val="6FBD596D"/>
    <w:rsid w:val="701904DB"/>
    <w:rsid w:val="70CD6084"/>
    <w:rsid w:val="70DB7CC2"/>
    <w:rsid w:val="70FB33EE"/>
    <w:rsid w:val="70FF79C1"/>
    <w:rsid w:val="715F4802"/>
    <w:rsid w:val="71AA576A"/>
    <w:rsid w:val="72221ABE"/>
    <w:rsid w:val="72531F1A"/>
    <w:rsid w:val="727C248C"/>
    <w:rsid w:val="72BF1BF3"/>
    <w:rsid w:val="72F608D6"/>
    <w:rsid w:val="72F74131"/>
    <w:rsid w:val="73C67847"/>
    <w:rsid w:val="73C859D0"/>
    <w:rsid w:val="744A64C5"/>
    <w:rsid w:val="7450110B"/>
    <w:rsid w:val="753B4B84"/>
    <w:rsid w:val="75C8506C"/>
    <w:rsid w:val="761B5537"/>
    <w:rsid w:val="762636C5"/>
    <w:rsid w:val="76342701"/>
    <w:rsid w:val="76AF0906"/>
    <w:rsid w:val="76B6740F"/>
    <w:rsid w:val="76BB51CB"/>
    <w:rsid w:val="780F019D"/>
    <w:rsid w:val="781A22DB"/>
    <w:rsid w:val="782566D7"/>
    <w:rsid w:val="783C764B"/>
    <w:rsid w:val="78752319"/>
    <w:rsid w:val="78D83818"/>
    <w:rsid w:val="79882449"/>
    <w:rsid w:val="7A0A4093"/>
    <w:rsid w:val="7A1563A6"/>
    <w:rsid w:val="7A3E2F63"/>
    <w:rsid w:val="7AC912FF"/>
    <w:rsid w:val="7B191EC4"/>
    <w:rsid w:val="7B587A97"/>
    <w:rsid w:val="7B7B6E35"/>
    <w:rsid w:val="7B9A3006"/>
    <w:rsid w:val="7BC260B9"/>
    <w:rsid w:val="7C35651C"/>
    <w:rsid w:val="7C8021FC"/>
    <w:rsid w:val="7CC83BA3"/>
    <w:rsid w:val="7D6A4C5A"/>
    <w:rsid w:val="7D7223CC"/>
    <w:rsid w:val="7DB87774"/>
    <w:rsid w:val="7E1A042F"/>
    <w:rsid w:val="7E7A049B"/>
    <w:rsid w:val="7E980502"/>
    <w:rsid w:val="7ED7363A"/>
    <w:rsid w:val="7ED86152"/>
    <w:rsid w:val="7F0A04A3"/>
    <w:rsid w:val="7F1F5DDE"/>
    <w:rsid w:val="7FE00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9"/>
    <w:qFormat/>
    <w:uiPriority w:val="0"/>
    <w:pPr>
      <w:keepNext/>
      <w:keepLines/>
      <w:spacing w:before="260" w:after="260" w:line="416" w:lineRule="auto"/>
      <w:outlineLvl w:val="2"/>
    </w:pPr>
    <w:rPr>
      <w:b/>
      <w:bCs/>
      <w:sz w:val="32"/>
      <w:szCs w:val="32"/>
    </w:rPr>
  </w:style>
  <w:style w:type="paragraph" w:styleId="5">
    <w:name w:val="heading 4"/>
    <w:basedOn w:val="1"/>
    <w:next w:val="1"/>
    <w:link w:val="24"/>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sz w:val="20"/>
      <w:szCs w:val="20"/>
    </w:rPr>
  </w:style>
  <w:style w:type="paragraph" w:styleId="7">
    <w:name w:val="Normal Indent"/>
    <w:basedOn w:val="1"/>
    <w:qFormat/>
    <w:uiPriority w:val="0"/>
    <w:pPr>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 w:type="paragraph" w:styleId="8">
    <w:name w:val="Document Map"/>
    <w:basedOn w:val="1"/>
    <w:qFormat/>
    <w:uiPriority w:val="0"/>
    <w:pPr>
      <w:shd w:val="clear" w:color="auto" w:fill="000080"/>
    </w:pPr>
  </w:style>
  <w:style w:type="paragraph" w:styleId="9">
    <w:name w:val="toc 5"/>
    <w:basedOn w:val="1"/>
    <w:next w:val="1"/>
    <w:autoRedefine/>
    <w:qFormat/>
    <w:uiPriority w:val="0"/>
    <w:pPr>
      <w:ind w:left="840"/>
      <w:jc w:val="left"/>
    </w:pPr>
    <w:rPr>
      <w:sz w:val="20"/>
      <w:szCs w:val="20"/>
    </w:rPr>
  </w:style>
  <w:style w:type="paragraph" w:styleId="10">
    <w:name w:val="toc 3"/>
    <w:basedOn w:val="1"/>
    <w:next w:val="1"/>
    <w:qFormat/>
    <w:uiPriority w:val="0"/>
    <w:pPr>
      <w:adjustRightInd w:val="0"/>
      <w:snapToGrid w:val="0"/>
      <w:spacing w:line="360" w:lineRule="auto"/>
      <w:ind w:firstLine="400" w:firstLineChars="400"/>
      <w:jc w:val="left"/>
    </w:pPr>
    <w:rPr>
      <w:sz w:val="24"/>
      <w:szCs w:val="20"/>
    </w:rPr>
  </w:style>
  <w:style w:type="paragraph" w:styleId="11">
    <w:name w:val="toc 8"/>
    <w:basedOn w:val="1"/>
    <w:next w:val="1"/>
    <w:autoRedefine/>
    <w:qFormat/>
    <w:uiPriority w:val="0"/>
    <w:pPr>
      <w:ind w:left="1470"/>
      <w:jc w:val="left"/>
    </w:pPr>
    <w:rPr>
      <w:sz w:val="20"/>
      <w:szCs w:val="20"/>
    </w:rPr>
  </w:style>
  <w:style w:type="paragraph" w:styleId="12">
    <w:name w:val="footer"/>
    <w:basedOn w:val="1"/>
    <w:link w:val="27"/>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autoRedefine/>
    <w:qFormat/>
    <w:uiPriority w:val="0"/>
    <w:pPr>
      <w:ind w:left="630"/>
      <w:jc w:val="left"/>
    </w:pPr>
    <w:rPr>
      <w:sz w:val="20"/>
      <w:szCs w:val="20"/>
    </w:rPr>
  </w:style>
  <w:style w:type="paragraph" w:styleId="16">
    <w:name w:val="toc 6"/>
    <w:basedOn w:val="1"/>
    <w:next w:val="1"/>
    <w:autoRedefine/>
    <w:qFormat/>
    <w:uiPriority w:val="0"/>
    <w:pPr>
      <w:ind w:left="1050"/>
      <w:jc w:val="left"/>
    </w:pPr>
    <w:rPr>
      <w:sz w:val="20"/>
      <w:szCs w:val="20"/>
    </w:rPr>
  </w:style>
  <w:style w:type="paragraph" w:styleId="17">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8">
    <w:name w:val="toc 9"/>
    <w:basedOn w:val="1"/>
    <w:next w:val="1"/>
    <w:autoRedefine/>
    <w:qFormat/>
    <w:uiPriority w:val="0"/>
    <w:pPr>
      <w:ind w:left="1680"/>
      <w:jc w:val="left"/>
    </w:pPr>
    <w:rPr>
      <w:sz w:val="20"/>
      <w:szCs w:val="20"/>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customStyle="1" w:styleId="24">
    <w:name w:val="标题 4 字符"/>
    <w:basedOn w:val="21"/>
    <w:link w:val="5"/>
    <w:qFormat/>
    <w:uiPriority w:val="0"/>
    <w:rPr>
      <w:rFonts w:ascii="Cambria" w:hAnsi="Cambria"/>
      <w:b/>
      <w:bCs/>
      <w:kern w:val="2"/>
      <w:sz w:val="28"/>
      <w:szCs w:val="28"/>
    </w:rPr>
  </w:style>
  <w:style w:type="paragraph" w:styleId="2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6">
    <w:name w:val="无间隔 字符"/>
    <w:link w:val="25"/>
    <w:qFormat/>
    <w:locked/>
    <w:uiPriority w:val="0"/>
    <w:rPr>
      <w:rFonts w:eastAsia="仿宋_GB2312"/>
      <w:sz w:val="30"/>
      <w:szCs w:val="22"/>
      <w:lang w:bidi="ar-SA"/>
    </w:rPr>
  </w:style>
  <w:style w:type="character" w:customStyle="1" w:styleId="27">
    <w:name w:val="页脚 字符"/>
    <w:basedOn w:val="21"/>
    <w:link w:val="12"/>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字符"/>
    <w:basedOn w:val="21"/>
    <w:link w:val="4"/>
    <w:qFormat/>
    <w:uiPriority w:val="0"/>
    <w:rPr>
      <w:b/>
      <w:bCs/>
      <w:kern w:val="2"/>
      <w:sz w:val="32"/>
      <w:szCs w:val="32"/>
    </w:rPr>
  </w:style>
  <w:style w:type="character" w:customStyle="1" w:styleId="30">
    <w:name w:val="font31"/>
    <w:basedOn w:val="21"/>
    <w:qFormat/>
    <w:uiPriority w:val="0"/>
    <w:rPr>
      <w:rFonts w:hint="default" w:ascii="Calibri" w:hAnsi="Calibri" w:cs="Calibri"/>
      <w:color w:val="000000"/>
      <w:sz w:val="20"/>
      <w:szCs w:val="20"/>
      <w:u w:val="none"/>
    </w:rPr>
  </w:style>
  <w:style w:type="character" w:customStyle="1" w:styleId="31">
    <w:name w:val="font41"/>
    <w:basedOn w:val="2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C:\Users\wll\Desktop\2025&#24180;&#20915;&#31639;&#20844;&#24320;\&#26032;&#24314;&#25991;&#20214;&#22841;\86150624093014--&#20869;&#33945;&#21476;&#33258;&#27835;&#21306;&#37122;&#23572;&#22810;&#26031;&#24066;&#37122;&#25176;&#20811;&#26071;&#31532;&#20108;&#20154;&#27665;&#21307;&#38498;.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C:\Users\wll\Desktop\2025&#24180;&#20915;&#31639;&#20844;&#24320;\&#26032;&#24314;&#25991;&#20214;&#22841;\86150624093014--&#20869;&#33945;&#21476;&#33258;&#27835;&#21306;&#37122;&#23572;&#22810;&#26031;&#24066;&#37122;&#25176;&#20811;&#26071;&#31532;&#20108;&#20154;&#27665;&#21307;&#3849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收入决算图（单位：万元）</a:t>
            </a:r>
          </a:p>
        </c:rich>
      </c:tx>
      <c:layout/>
      <c:overlay val="0"/>
      <c:spPr>
        <a:noFill/>
        <a:ln>
          <a:noFill/>
        </a:ln>
        <a:effectLst/>
      </c:spPr>
    </c:title>
    <c:autoTitleDeleted val="0"/>
    <c:plotArea>
      <c:layout/>
      <c:pieChart>
        <c:varyColors val="1"/>
        <c:ser>
          <c:idx val="0"/>
          <c:order val="0"/>
          <c:spPr>
            <a:gradFill>
              <a:gsLst>
                <a:gs pos="0">
                  <a:schemeClr val="accent1">
                    <a:lumMod val="60000"/>
                    <a:lumOff val="40000"/>
                  </a:schemeClr>
                </a:gs>
                <a:gs pos="100000">
                  <a:schemeClr val="accent1">
                    <a:lumMod val="75000"/>
                  </a:schemeClr>
                </a:gs>
              </a:gsLst>
              <a:lin ang="5400000" scaled="1"/>
            </a:gradFill>
            <a:ln w="25400">
              <a:solidFill>
                <a:schemeClr val="accent1"/>
              </a:solidFill>
            </a:ln>
            <a:effectLst>
              <a:outerShdw blurRad="50800" dist="38100" dir="2700000" algn="tl" rotWithShape="0">
                <a:schemeClr val="accent1">
                  <a:alpha val="40000"/>
                </a:schemeClr>
              </a:outerShdw>
            </a:effectLst>
          </c:spPr>
          <c:explosion val="0"/>
          <c:dPt>
            <c:idx val="0"/>
            <c:bubble3D val="0"/>
            <c:spPr>
              <a:gradFill>
                <a:gsLst>
                  <a:gs pos="0">
                    <a:schemeClr val="accent1">
                      <a:lumMod val="60000"/>
                      <a:lumOff val="40000"/>
                    </a:schemeClr>
                  </a:gs>
                  <a:gs pos="100000">
                    <a:schemeClr val="accent1">
                      <a:lumMod val="75000"/>
                    </a:schemeClr>
                  </a:gs>
                </a:gsLst>
                <a:lin ang="5400000" scaled="1"/>
              </a:gradFill>
              <a:ln w="25400">
                <a:solidFill>
                  <a:schemeClr val="accent1"/>
                </a:solidFill>
              </a:ln>
              <a:effectLst>
                <a:outerShdw blurRad="50800" dist="38100" dir="2700000" algn="tl" rotWithShape="0">
                  <a:schemeClr val="accent1">
                    <a:alpha val="40000"/>
                  </a:schemeClr>
                </a:outerShdw>
              </a:effectLst>
            </c:spPr>
          </c:dPt>
          <c:dPt>
            <c:idx val="1"/>
            <c:bubble3D val="0"/>
            <c:spPr>
              <a:gradFill>
                <a:gsLst>
                  <a:gs pos="0">
                    <a:schemeClr val="accent2">
                      <a:lumMod val="60000"/>
                      <a:lumOff val="40000"/>
                    </a:schemeClr>
                  </a:gs>
                  <a:gs pos="100000">
                    <a:schemeClr val="accent2">
                      <a:lumMod val="75000"/>
                    </a:schemeClr>
                  </a:gs>
                </a:gsLst>
                <a:lin ang="5400000" scaled="1"/>
              </a:gradFill>
              <a:ln w="25400">
                <a:solidFill>
                  <a:schemeClr val="accent2"/>
                </a:solidFill>
              </a:ln>
              <a:effectLst>
                <a:outerShdw blurRad="50800" dist="38100" dir="2700000" algn="tl" rotWithShape="0">
                  <a:schemeClr val="accent2">
                    <a:alpha val="40000"/>
                  </a:schemeClr>
                </a:outerShdw>
              </a:effectLst>
            </c:spPr>
          </c:dPt>
          <c:dPt>
            <c:idx val="2"/>
            <c:bubble3D val="0"/>
            <c:spPr>
              <a:gradFill>
                <a:gsLst>
                  <a:gs pos="0">
                    <a:schemeClr val="accent3">
                      <a:lumMod val="40000"/>
                      <a:lumOff val="60000"/>
                    </a:schemeClr>
                  </a:gs>
                  <a:gs pos="100000">
                    <a:schemeClr val="accent3">
                      <a:lumMod val="75000"/>
                    </a:schemeClr>
                  </a:gs>
                </a:gsLst>
                <a:lin ang="5400000" scaled="1"/>
              </a:gradFill>
              <a:ln w="25400">
                <a:solidFill>
                  <a:schemeClr val="accent3"/>
                </a:solidFill>
              </a:ln>
              <a:effectLst>
                <a:outerShdw blurRad="50800" dist="38100" dir="2700000" algn="tl" rotWithShape="0">
                  <a:schemeClr val="accent3">
                    <a:alpha val="40000"/>
                  </a:schemeClr>
                </a:outerShdw>
              </a:effectLst>
            </c:spPr>
          </c:dPt>
          <c:dLbls>
            <c:numFmt formatCode="General" sourceLinked="1"/>
            <c:spPr>
              <a:noFill/>
              <a:ln>
                <a:noFill/>
              </a:ln>
              <a:effectLst/>
            </c:spPr>
            <c:txPr>
              <a:bodyPr rot="0" spcFirstLastPara="0" vertOverflow="ellipsis" vert="horz" wrap="square" lIns="38100" tIns="19050" rIns="38100" bIns="19050" anchor="ctr" anchorCtr="1" forceAA="0">
                <a:spAutoFit/>
              </a:bodyPr>
              <a:lstStyle/>
              <a:p>
                <a:pPr>
                  <a:defRPr lang="zh-CN" sz="900" b="0" i="0" u="none" strike="noStrike" kern="1200" baseline="0">
                    <a:solidFill>
                      <a:schemeClr val="bg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1"/>
            <c:showCatName val="1"/>
            <c:showSerName val="0"/>
            <c:showPercent val="0"/>
            <c:showBubbleSize val="0"/>
            <c:separator>
</c:separator>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'[86150624093014--内蒙古自治区鄂尔多斯市鄂托克旗第二人民医院.xlsx]Sheet1'!$B$3:$B$5</c:f>
              <c:strCache>
                <c:ptCount val="3"/>
                <c:pt idx="0">
                  <c:v>一般公共预算财政拨款收入</c:v>
                </c:pt>
                <c:pt idx="1">
                  <c:v>事业收入</c:v>
                </c:pt>
                <c:pt idx="2">
                  <c:v>其他收入</c:v>
                </c:pt>
              </c:strCache>
            </c:strRef>
          </c:cat>
          <c:val>
            <c:numRef>
              <c:f>'[86150624093014--内蒙古自治区鄂尔多斯市鄂托克旗第二人民医院.xlsx]Sheet1'!$C$3:$C$5</c:f>
              <c:numCache>
                <c:formatCode>General</c:formatCode>
                <c:ptCount val="3"/>
                <c:pt idx="0">
                  <c:v>5790.23</c:v>
                </c:pt>
                <c:pt idx="1">
                  <c:v>6254.14</c:v>
                </c:pt>
                <c:pt idx="2">
                  <c:v>153.89</c:v>
                </c:pt>
              </c:numCache>
            </c:numRef>
          </c:val>
        </c:ser>
        <c:dLbls>
          <c:showLegendKey val="0"/>
          <c:showVal val="1"/>
          <c:showCatName val="1"/>
          <c:showSerName val="0"/>
          <c:showPercent val="0"/>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9a53fa48-f74d-4fbe-afa8-7d19ed336a33}"/>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支出决算图（单位：万元）</a:t>
            </a:r>
          </a:p>
        </c:rich>
      </c:tx>
      <c:layout>
        <c:manualLayout>
          <c:xMode val="edge"/>
          <c:yMode val="edge"/>
          <c:x val="0.296403643676801"/>
          <c:y val="0.0191815856777494"/>
        </c:manualLayout>
      </c:layout>
      <c:overlay val="0"/>
      <c:spPr>
        <a:noFill/>
        <a:ln>
          <a:noFill/>
        </a:ln>
        <a:effectLst/>
      </c:spPr>
    </c:title>
    <c:autoTitleDeleted val="0"/>
    <c:plotArea>
      <c:layout/>
      <c:pieChart>
        <c:varyColors val="1"/>
        <c:ser>
          <c:idx val="0"/>
          <c:order val="0"/>
          <c:spPr>
            <a:gradFill>
              <a:gsLst>
                <a:gs pos="0">
                  <a:schemeClr val="accent1">
                    <a:lumMod val="60000"/>
                    <a:lumOff val="40000"/>
                  </a:schemeClr>
                </a:gs>
                <a:gs pos="100000">
                  <a:schemeClr val="accent1">
                    <a:lumMod val="75000"/>
                  </a:schemeClr>
                </a:gs>
              </a:gsLst>
              <a:lin ang="5400000" scaled="1"/>
            </a:gradFill>
            <a:ln w="25400">
              <a:solidFill>
                <a:schemeClr val="accent1"/>
              </a:solidFill>
            </a:ln>
            <a:effectLst>
              <a:outerShdw blurRad="50800" dist="38100" dir="2700000" algn="tl" rotWithShape="0">
                <a:schemeClr val="accent1">
                  <a:alpha val="40000"/>
                </a:schemeClr>
              </a:outerShdw>
            </a:effectLst>
          </c:spPr>
          <c:explosion val="0"/>
          <c:dPt>
            <c:idx val="0"/>
            <c:bubble3D val="0"/>
            <c:spPr>
              <a:gradFill>
                <a:gsLst>
                  <a:gs pos="0">
                    <a:schemeClr val="accent1">
                      <a:lumMod val="60000"/>
                      <a:lumOff val="40000"/>
                    </a:schemeClr>
                  </a:gs>
                  <a:gs pos="100000">
                    <a:schemeClr val="accent1">
                      <a:lumMod val="75000"/>
                    </a:schemeClr>
                  </a:gs>
                </a:gsLst>
                <a:lin ang="5400000" scaled="1"/>
              </a:gradFill>
              <a:ln w="25400">
                <a:solidFill>
                  <a:schemeClr val="accent1"/>
                </a:solidFill>
              </a:ln>
              <a:effectLst>
                <a:outerShdw blurRad="50800" dist="38100" dir="2700000" algn="tl" rotWithShape="0">
                  <a:schemeClr val="accent1">
                    <a:alpha val="40000"/>
                  </a:schemeClr>
                </a:outerShdw>
              </a:effectLst>
            </c:spPr>
          </c:dPt>
          <c:dPt>
            <c:idx val="1"/>
            <c:bubble3D val="0"/>
            <c:spPr>
              <a:gradFill>
                <a:gsLst>
                  <a:gs pos="0">
                    <a:schemeClr val="accent2">
                      <a:lumMod val="60000"/>
                      <a:lumOff val="40000"/>
                    </a:schemeClr>
                  </a:gs>
                  <a:gs pos="100000">
                    <a:schemeClr val="accent2">
                      <a:lumMod val="75000"/>
                    </a:schemeClr>
                  </a:gs>
                </a:gsLst>
                <a:lin ang="5400000" scaled="1"/>
              </a:gradFill>
              <a:ln w="25400">
                <a:solidFill>
                  <a:schemeClr val="accent2"/>
                </a:solidFill>
              </a:ln>
              <a:effectLst>
                <a:outerShdw blurRad="50800" dist="38100" dir="2700000" algn="tl" rotWithShape="0">
                  <a:schemeClr val="accent2">
                    <a:alpha val="40000"/>
                  </a:schemeClr>
                </a:outerShdw>
              </a:effectLst>
            </c:spPr>
          </c:dPt>
          <c:dPt>
            <c:idx val="2"/>
            <c:bubble3D val="0"/>
            <c:spPr>
              <a:gradFill>
                <a:gsLst>
                  <a:gs pos="0">
                    <a:schemeClr val="accent3">
                      <a:lumMod val="40000"/>
                      <a:lumOff val="60000"/>
                    </a:schemeClr>
                  </a:gs>
                  <a:gs pos="100000">
                    <a:schemeClr val="accent3">
                      <a:lumMod val="75000"/>
                    </a:schemeClr>
                  </a:gs>
                </a:gsLst>
                <a:lin ang="5400000" scaled="1"/>
              </a:gradFill>
              <a:ln w="25400">
                <a:solidFill>
                  <a:schemeClr val="accent3"/>
                </a:solidFill>
              </a:ln>
              <a:effectLst>
                <a:outerShdw blurRad="50800" dist="38100" dir="2700000" algn="tl" rotWithShape="0">
                  <a:schemeClr val="accent3">
                    <a:alpha val="40000"/>
                  </a:schemeClr>
                </a:outerShdw>
              </a:effectLst>
            </c:spPr>
          </c:dPt>
          <c:dLbls>
            <c:numFmt formatCode="General" sourceLinked="1"/>
            <c:spPr>
              <a:noFill/>
              <a:ln>
                <a:noFill/>
              </a:ln>
              <a:effectLst/>
            </c:spPr>
            <c:txPr>
              <a:bodyPr rot="0" spcFirstLastPara="0" vertOverflow="ellipsis" vert="horz" wrap="square" lIns="38100" tIns="19050" rIns="38100" bIns="19050" anchor="ctr" anchorCtr="1" forceAA="0">
                <a:spAutoFit/>
              </a:bodyPr>
              <a:lstStyle/>
              <a:p>
                <a:pPr>
                  <a:defRPr lang="zh-CN" sz="900" b="0" i="0" u="none" strike="noStrike" kern="1200" baseline="0">
                    <a:solidFill>
                      <a:schemeClr val="bg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1"/>
            <c:showCatName val="1"/>
            <c:showSerName val="0"/>
            <c:showPercent val="0"/>
            <c:showBubbleSize val="0"/>
            <c:separator>
</c:separator>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'[86150624093014--内蒙古自治区鄂尔多斯市鄂托克旗第二人民医院.xlsx]Sheet1'!$B$3:$B$5</c:f>
              <c:strCache>
                <c:ptCount val="3"/>
                <c:pt idx="0">
                  <c:v>基本支出</c:v>
                </c:pt>
                <c:pt idx="1">
                  <c:v>项目支出</c:v>
                </c:pt>
              </c:strCache>
            </c:strRef>
          </c:cat>
          <c:val>
            <c:numRef>
              <c:f>'[86150624093014--内蒙古自治区鄂尔多斯市鄂托克旗第二人民医院.xlsx]Sheet1'!$C$3:$C$5</c:f>
              <c:numCache>
                <c:formatCode>General</c:formatCode>
                <c:ptCount val="3"/>
                <c:pt idx="0">
                  <c:v>9159.38</c:v>
                </c:pt>
                <c:pt idx="1">
                  <c:v>2534.38</c:v>
                </c:pt>
              </c:numCache>
            </c:numRef>
          </c:val>
        </c:ser>
        <c:dLbls>
          <c:showLegendKey val="0"/>
          <c:showVal val="1"/>
          <c:showCatName val="1"/>
          <c:showSerName val="0"/>
          <c:showPercent val="0"/>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9a53fa48-f74d-4fbe-afa8-7d19ed336a33}"/>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自定义 27">
    <a:dk1>
      <a:srgbClr val="000000"/>
    </a:dk1>
    <a:lt1>
      <a:srgbClr val="FFFFFF"/>
    </a:lt1>
    <a:dk2>
      <a:srgbClr val="000000"/>
    </a:dk2>
    <a:lt2>
      <a:srgbClr val="FEFFFF"/>
    </a:lt2>
    <a:accent1>
      <a:srgbClr val="3B73FF"/>
    </a:accent1>
    <a:accent2>
      <a:srgbClr val="1DDC98"/>
    </a:accent2>
    <a:accent3>
      <a:srgbClr val="FFCC3E"/>
    </a:accent3>
    <a:accent4>
      <a:srgbClr val="FF7640"/>
    </a:accent4>
    <a:accent5>
      <a:srgbClr val="FC4242"/>
    </a:accent5>
    <a:accent6>
      <a:srgbClr val="A766FF"/>
    </a:accent6>
    <a:hlink>
      <a:srgbClr val="304FFE"/>
    </a:hlink>
    <a:folHlink>
      <a:srgbClr val="492067"/>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自定义 27">
    <a:dk1>
      <a:srgbClr val="000000"/>
    </a:dk1>
    <a:lt1>
      <a:srgbClr val="FFFFFF"/>
    </a:lt1>
    <a:dk2>
      <a:srgbClr val="000000"/>
    </a:dk2>
    <a:lt2>
      <a:srgbClr val="FEFFFF"/>
    </a:lt2>
    <a:accent1>
      <a:srgbClr val="3B73FF"/>
    </a:accent1>
    <a:accent2>
      <a:srgbClr val="1DDC98"/>
    </a:accent2>
    <a:accent3>
      <a:srgbClr val="FFCC3E"/>
    </a:accent3>
    <a:accent4>
      <a:srgbClr val="FF7640"/>
    </a:accent4>
    <a:accent5>
      <a:srgbClr val="FC4242"/>
    </a:accent5>
    <a:accent6>
      <a:srgbClr val="A766FF"/>
    </a:accent6>
    <a:hlink>
      <a:srgbClr val="304FFE"/>
    </a:hlink>
    <a:folHlink>
      <a:srgbClr val="492067"/>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39</Pages>
  <Words>8437</Words>
  <Characters>9747</Characters>
  <Lines>1</Lines>
  <Paragraphs>1</Paragraphs>
  <TotalTime>15</TotalTime>
  <ScaleCrop>false</ScaleCrop>
  <LinksUpToDate>false</LinksUpToDate>
  <CharactersWithSpaces>10282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淡定、续生活</cp:lastModifiedBy>
  <cp:lastPrinted>2021-04-16T00:45:00Z</cp:lastPrinted>
  <dcterms:modified xsi:type="dcterms:W3CDTF">2025-10-16T06:52:17Z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49553F31DC2E4114818B888391612F0A_13</vt:lpwstr>
  </property>
  <property fmtid="{D5CDD505-2E9C-101B-9397-08002B2CF9AE}" pid="4" name="KSOTemplateDocerSaveRecord">
    <vt:lpwstr>eyJoZGlkIjoiNTA0OWUwZmEyMDIyZjUxOGJiMjAwOTM5MzYzZTRjMTgiLCJ1c2VySWQiOiIyMjk0NjMwNTEifQ==</vt:lpwstr>
  </property>
</Properties>
</file>